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1A75">
      <w:pPr>
        <w:overflowPunct w:val="0"/>
        <w:autoSpaceDE w:val="0"/>
        <w:autoSpaceDN w:val="0"/>
        <w:adjustRightInd w:val="0"/>
        <w:spacing w:line="360" w:lineRule="auto"/>
        <w:textAlignment w:val="baseline"/>
        <w:rPr>
          <w:rFonts w:hint="default" w:ascii="Arial" w:hAnsi="Arial" w:eastAsia="宋体" w:cs="Arial"/>
          <w:b/>
          <w:sz w:val="22"/>
          <w:lang w:val="en-US" w:eastAsia="zh-CN"/>
        </w:rPr>
      </w:pPr>
      <w:r>
        <w:rPr>
          <w:rFonts w:ascii="Arial" w:hAnsi="Arial" w:eastAsia="MS Mincho" w:cs="Arial"/>
          <w:b/>
          <w:sz w:val="24"/>
          <w:szCs w:val="24"/>
          <w:lang w:eastAsia="en-GB"/>
        </w:rPr>
        <w:t>3GPP TSG-RAN WG Meeting #1</w:t>
      </w:r>
      <w:r>
        <w:rPr>
          <w:rFonts w:hint="eastAsia" w:ascii="Arial" w:hAnsi="Arial" w:cs="Arial"/>
          <w:b/>
          <w:sz w:val="24"/>
          <w:szCs w:val="24"/>
        </w:rPr>
        <w:t>09</w:t>
      </w:r>
      <w:r>
        <w:rPr>
          <w:rFonts w:ascii="Arial" w:hAnsi="Arial" w:eastAsia="MS Mincho" w:cs="Arial"/>
          <w:b/>
          <w:sz w:val="24"/>
          <w:szCs w:val="24"/>
          <w:lang w:eastAsia="en-GB"/>
        </w:rPr>
        <w:t xml:space="preserve">       </w:t>
      </w:r>
      <w:r>
        <w:rPr>
          <w:rFonts w:ascii="Arial" w:hAnsi="Arial" w:eastAsia="MS Mincho" w:cs="Arial"/>
          <w:b/>
          <w:sz w:val="24"/>
          <w:szCs w:val="24"/>
          <w:lang w:eastAsia="en-GB"/>
        </w:rPr>
        <w:tab/>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eastAsia="MS Mincho" w:cs="Arial"/>
          <w:b/>
          <w:sz w:val="24"/>
          <w:szCs w:val="24"/>
          <w:lang w:eastAsia="en-GB"/>
        </w:rPr>
        <w:t>RP-252</w:t>
      </w:r>
      <w:r>
        <w:rPr>
          <w:rFonts w:hint="eastAsia" w:ascii="Arial" w:hAnsi="Arial" w:cs="Arial"/>
          <w:b/>
          <w:sz w:val="24"/>
          <w:szCs w:val="24"/>
          <w:lang w:val="en-US" w:eastAsia="zh-CN"/>
        </w:rPr>
        <w:t>756</w:t>
      </w:r>
    </w:p>
    <w:p w14:paraId="581CBF5D">
      <w:pPr>
        <w:overflowPunct w:val="0"/>
        <w:autoSpaceDE w:val="0"/>
        <w:autoSpaceDN w:val="0"/>
        <w:adjustRightInd w:val="0"/>
        <w:spacing w:line="360" w:lineRule="auto"/>
        <w:textAlignment w:val="baseline"/>
        <w:rPr>
          <w:rFonts w:ascii="Arial" w:hAnsi="Arial" w:cs="Arial"/>
          <w:b/>
          <w:bCs/>
          <w:sz w:val="24"/>
          <w:szCs w:val="24"/>
        </w:rPr>
      </w:pPr>
      <w:r>
        <w:rPr>
          <w:rFonts w:hint="eastAsia" w:ascii="Arial" w:hAnsi="Arial" w:cs="Arial"/>
          <w:b/>
          <w:bCs/>
          <w:sz w:val="24"/>
          <w:szCs w:val="24"/>
        </w:rPr>
        <w:t>Beijing, China, 15-18 Sep</w:t>
      </w:r>
      <w:r>
        <w:rPr>
          <w:rFonts w:hint="eastAsia" w:ascii="Arial" w:hAnsi="Arial" w:cs="Arial"/>
          <w:b/>
          <w:bCs/>
          <w:sz w:val="24"/>
          <w:szCs w:val="24"/>
          <w:lang w:val="en-US" w:eastAsia="zh-CN"/>
        </w:rPr>
        <w:t>tember</w:t>
      </w:r>
      <w:r>
        <w:rPr>
          <w:rFonts w:hint="eastAsia"/>
          <w:bCs/>
          <w:snapToGrid w:val="0"/>
          <w:sz w:val="24"/>
          <w:szCs w:val="24"/>
        </w:rPr>
        <w:t xml:space="preserve"> </w:t>
      </w:r>
      <w:r>
        <w:rPr>
          <w:rFonts w:hint="eastAsia" w:ascii="Arial" w:hAnsi="Arial" w:cs="Arial"/>
          <w:b/>
          <w:bCs/>
          <w:sz w:val="24"/>
          <w:szCs w:val="24"/>
        </w:rPr>
        <w:t>2025</w:t>
      </w:r>
    </w:p>
    <w:p w14:paraId="61E629DA">
      <w:pPr>
        <w:overflowPunct w:val="0"/>
        <w:autoSpaceDE w:val="0"/>
        <w:autoSpaceDN w:val="0"/>
        <w:adjustRightInd w:val="0"/>
        <w:textAlignment w:val="baseline"/>
        <w:rPr>
          <w:rFonts w:ascii="Arial" w:hAnsi="Arial" w:cs="Arial"/>
          <w:b/>
          <w:bCs/>
          <w:sz w:val="24"/>
        </w:rPr>
      </w:pPr>
    </w:p>
    <w:p w14:paraId="55E06C95">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8.2.1.4</w:t>
      </w:r>
    </w:p>
    <w:p w14:paraId="1DB2688C">
      <w:pPr>
        <w:tabs>
          <w:tab w:val="left" w:pos="1985"/>
          <w:tab w:val="left" w:pos="2366"/>
        </w:tabs>
        <w:ind w:left="1985" w:hanging="1985"/>
        <w:rPr>
          <w:rFonts w:hint="eastAsia" w:ascii="Arial" w:hAnsi="Arial" w:eastAsia="宋体" w:cs="Arial"/>
          <w:b/>
          <w:bCs/>
          <w:sz w:val="24"/>
          <w:lang w:eastAsia="zh-CN"/>
        </w:rPr>
      </w:pPr>
      <w:r>
        <w:rPr>
          <w:rFonts w:ascii="Arial" w:hAnsi="Arial" w:cs="Arial"/>
          <w:b/>
          <w:bCs/>
          <w:sz w:val="24"/>
          <w:lang w:eastAsia="en-US"/>
        </w:rPr>
        <w:t>Source:</w:t>
      </w:r>
      <w:r>
        <w:rPr>
          <w:rFonts w:ascii="Arial" w:hAnsi="Arial" w:cs="Arial"/>
          <w:b/>
          <w:bCs/>
          <w:sz w:val="24"/>
          <w:lang w:eastAsia="en-US"/>
        </w:rPr>
        <w:tab/>
      </w:r>
      <w:r>
        <w:rPr>
          <w:rFonts w:hint="eastAsia" w:ascii="Arial" w:hAnsi="Arial" w:cs="Arial"/>
          <w:b/>
          <w:bCs/>
          <w:sz w:val="24"/>
          <w:lang w:eastAsia="zh-CN"/>
        </w:rPr>
        <w:t>BUPT, Pengcheng Laboratory, ZGC Institute of Ubiquitous-X Innovation and Application</w:t>
      </w:r>
    </w:p>
    <w:p w14:paraId="60618339">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eastAsia="en-US"/>
        </w:rPr>
        <w:t>Requirements on the Integration of Al and 6G RAN</w:t>
      </w:r>
    </w:p>
    <w:p w14:paraId="17F3FCAC">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06311998">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4AF9E28">
      <w:pPr>
        <w:pStyle w:val="2"/>
        <w:jc w:val="both"/>
        <w:rPr>
          <w:rFonts w:ascii="Times New Roman" w:hAnsi="Times New Roman"/>
        </w:rPr>
      </w:pPr>
      <w:r>
        <w:rPr>
          <w:rFonts w:ascii="Times New Roman" w:hAnsi="Times New Roman"/>
          <w:lang w:eastAsia="zh-CN"/>
        </w:rPr>
        <w:t>Background</w:t>
      </w:r>
    </w:p>
    <w:p w14:paraId="3CB76DEC">
      <w:pPr>
        <w:spacing w:beforeLines="50" w:after="120" w:afterLines="50"/>
        <w:jc w:val="both"/>
        <w:rPr>
          <w:rFonts w:hint="eastAsia"/>
          <w:lang w:val="en-US" w:eastAsia="zh-CN"/>
        </w:rPr>
      </w:pPr>
      <w:bookmarkStart w:id="0" w:name="_Hlk155342702"/>
      <w:r>
        <w:rPr>
          <w:rFonts w:hint="eastAsia"/>
          <w:lang w:val="en-US" w:eastAsia="zh-CN"/>
        </w:rPr>
        <w:t xml:space="preserve">At the last RAN plenary, the </w:t>
      </w:r>
      <w:r>
        <w:rPr>
          <w:rFonts w:hint="default"/>
          <w:lang w:val="en-US" w:eastAsia="zh-CN"/>
        </w:rPr>
        <w:t>“</w:t>
      </w:r>
      <w:r>
        <w:rPr>
          <w:rFonts w:hint="eastAsia"/>
          <w:lang w:val="en-US" w:eastAsia="zh-CN"/>
        </w:rPr>
        <w:t>New SID: Study on 6G Radio</w:t>
      </w:r>
      <w:r>
        <w:rPr>
          <w:rFonts w:hint="default"/>
          <w:lang w:val="en-US" w:eastAsia="zh-CN"/>
        </w:rPr>
        <w:t>”</w:t>
      </w:r>
      <w:r>
        <w:rPr>
          <w:rFonts w:hint="eastAsia"/>
          <w:lang w:val="en-US" w:eastAsia="zh-CN"/>
        </w:rPr>
        <w:t xml:space="preserve"> was approved, in which AI/ML for 6G RAN and Radio constitutes an important component, covering the research scope of RAN1 through RAN4[1]. In addition, a new work item </w:t>
      </w:r>
      <w:r>
        <w:rPr>
          <w:rFonts w:hint="default"/>
          <w:lang w:val="en-US" w:eastAsia="zh-CN"/>
        </w:rPr>
        <w:t>“New WI: AI/ML for NR air interface enhancements”</w:t>
      </w:r>
      <w:r>
        <w:rPr>
          <w:rFonts w:hint="eastAsia"/>
          <w:lang w:val="en-US" w:eastAsia="zh-CN"/>
        </w:rPr>
        <w:t xml:space="preserve"> was also approved, mainly focusing on CSI compression feedback enhancement and inter-vendor training collaboration for two-sid</w:t>
      </w:r>
      <w:bookmarkStart w:id="3" w:name="_GoBack"/>
      <w:bookmarkEnd w:id="3"/>
      <w:r>
        <w:rPr>
          <w:rFonts w:hint="eastAsia"/>
          <w:lang w:val="en-US" w:eastAsia="zh-CN"/>
        </w:rPr>
        <w:t>ed AI/ML models[2].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1D2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871B9D4">
            <w:pPr>
              <w:pStyle w:val="135"/>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(8) </w:t>
            </w:r>
            <w:r>
              <w:rPr>
                <w:color w:val="000000" w:themeColor="text1"/>
                <w14:textFill>
                  <w14:solidFill>
                    <w14:schemeClr w14:val="tx1"/>
                  </w14:solidFill>
                </w14:textFill>
              </w:rPr>
              <w:t>AI/ML for 6GR and Radio Access Network, leveraging 5G AI/ML framework, as appropriate [See TR38.843] [RAN1, RAN2, RAN3, RAN4]</w:t>
            </w:r>
          </w:p>
          <w:p w14:paraId="00F94A53">
            <w:pPr>
              <w:pStyle w:val="135"/>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0E525F74">
            <w:pPr>
              <w:overflowPunct w:val="0"/>
              <w:autoSpaceDE w:val="0"/>
              <w:autoSpaceDN w:val="0"/>
              <w:adjustRightInd w:val="0"/>
              <w:spacing w:after="120"/>
              <w:ind w:left="720" w:firstLine="720"/>
              <w:textAlignment w:val="baseline"/>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7E072E9A">
            <w:pPr>
              <w:pStyle w:val="135"/>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24E7AF64">
            <w:pPr>
              <w:pStyle w:val="135"/>
              <w:numPr>
                <w:ilvl w:val="2"/>
                <w:numId w:val="8"/>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RAN3, RAN4]</w:t>
            </w:r>
          </w:p>
          <w:p w14:paraId="493BC0A8">
            <w:pPr>
              <w:pStyle w:val="135"/>
              <w:numPr>
                <w:ilvl w:val="2"/>
                <w:numId w:val="8"/>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14:textFill>
                  <w14:solidFill>
                    <w14:schemeClr w14:val="tx1"/>
                  </w14:solidFill>
                </w14:textFill>
              </w:rPr>
              <w:t>, RAN1</w:t>
            </w:r>
            <w:r>
              <w:rPr>
                <w:color w:val="000000" w:themeColor="text1"/>
                <w14:textFill>
                  <w14:solidFill>
                    <w14:schemeClr w14:val="tx1"/>
                  </w14:solidFill>
                </w14:textFill>
              </w:rPr>
              <w:t>]</w:t>
            </w:r>
          </w:p>
          <w:p w14:paraId="6B1B2025">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Note:</w:t>
            </w:r>
            <w:r>
              <w:rPr>
                <w:rFonts w:hint="eastAsia"/>
                <w:color w:val="000000" w:themeColor="text1"/>
                <w:highlight w:val="none"/>
                <w14:textFill>
                  <w14:solidFill>
                    <w14:schemeClr w14:val="tx1"/>
                  </w14:solidFill>
                </w14:textFill>
              </w:rPr>
              <w:t xml:space="preserve"> NW for AI is assumed to be </w:t>
            </w:r>
            <w:r>
              <w:rPr>
                <w:color w:val="000000" w:themeColor="text1"/>
                <w:highlight w:val="none"/>
                <w14:textFill>
                  <w14:solidFill>
                    <w14:schemeClr w14:val="tx1"/>
                  </w14:solidFill>
                </w14:textFill>
              </w:rPr>
              <w:t>covered</w:t>
            </w:r>
            <w:r>
              <w:rPr>
                <w:rFonts w:hint="eastAsia"/>
                <w:color w:val="000000" w:themeColor="text1"/>
                <w:highlight w:val="none"/>
                <w14:textFill>
                  <w14:solidFill>
                    <w14:schemeClr w14:val="tx1"/>
                  </w14:solidFill>
                </w14:textFill>
              </w:rPr>
              <w:t xml:space="preserve"> by new </w:t>
            </w:r>
            <w:r>
              <w:rPr>
                <w:color w:val="000000" w:themeColor="text1"/>
                <w:highlight w:val="none"/>
                <w14:textFill>
                  <w14:solidFill>
                    <w14:schemeClr w14:val="tx1"/>
                  </w14:solidFill>
                </w14:textFill>
              </w:rPr>
              <w:t>services</w:t>
            </w:r>
          </w:p>
          <w:p w14:paraId="131E3809">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color w:val="000000" w:themeColor="text1"/>
                <w14:textFill>
                  <w14:solidFill>
                    <w14:schemeClr w14:val="tx1"/>
                  </w14:solidFill>
                </w14:textFill>
              </w:rPr>
              <w:t>6GR and RAN design shall ensure that the 6G System can also operate without AI/ML</w:t>
            </w:r>
          </w:p>
          <w:p w14:paraId="5A941343">
            <w:pPr>
              <w:overflowPunct w:val="0"/>
              <w:autoSpaceDE w:val="0"/>
              <w:autoSpaceDN w:val="0"/>
              <w:adjustRightInd w:val="0"/>
              <w:spacing w:beforeLines="50" w:after="120" w:afterLines="50"/>
              <w:jc w:val="both"/>
              <w:textAlignment w:val="baseline"/>
              <w:rPr>
                <w:lang w:val="en-US" w:eastAsia="zh-CN"/>
              </w:rPr>
            </w:pPr>
          </w:p>
        </w:tc>
      </w:tr>
    </w:tbl>
    <w:p w14:paraId="15FFE807">
      <w:pPr>
        <w:spacing w:beforeLines="50" w:after="120" w:afterLines="50"/>
        <w:jc w:val="both"/>
        <w:rPr>
          <w:rFonts w:hint="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C88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F97A710">
            <w:pPr>
              <w:overflowPunct w:val="0"/>
              <w:autoSpaceDE w:val="0"/>
              <w:autoSpaceDN w:val="0"/>
              <w:adjustRightInd w:val="0"/>
              <w:spacing w:after="0"/>
              <w:textAlignment w:val="baseline"/>
              <w:rPr>
                <w:bCs/>
                <w:lang w:val="en-US"/>
              </w:rPr>
            </w:pPr>
            <w:r>
              <w:rPr>
                <w:b/>
                <w:color w:val="0000FF"/>
                <w:lang w:val="en-US"/>
              </w:rPr>
              <w:t>CSI feedback enhancement</w:t>
            </w:r>
            <w:r>
              <w:rPr>
                <w:bCs/>
                <w:lang w:val="en-US"/>
              </w:rPr>
              <w:t>, encompassing (two-sided model) [RAN1, RAN2]:</w:t>
            </w:r>
          </w:p>
          <w:p w14:paraId="57F0F48A">
            <w:pPr>
              <w:pStyle w:val="135"/>
              <w:numPr>
                <w:ilvl w:val="0"/>
                <w:numId w:val="9"/>
              </w:numPr>
              <w:overflowPunct w:val="0"/>
              <w:autoSpaceDE w:val="0"/>
              <w:autoSpaceDN w:val="0"/>
              <w:adjustRightInd w:val="0"/>
              <w:spacing w:after="0"/>
              <w:textAlignment w:val="baseline"/>
              <w:rPr>
                <w:bCs/>
                <w:lang w:val="en-US"/>
              </w:rPr>
            </w:pPr>
            <w:r>
              <w:rPr>
                <w:bCs/>
                <w:lang w:val="en-US"/>
              </w:rPr>
              <w:t xml:space="preserve">CSI spatial/frequency compression without temporal aspects (“Case 0”), </w:t>
            </w:r>
          </w:p>
          <w:p w14:paraId="51E24945">
            <w:pPr>
              <w:pStyle w:val="135"/>
              <w:numPr>
                <w:ilvl w:val="0"/>
                <w:numId w:val="9"/>
              </w:numPr>
              <w:overflowPunct w:val="0"/>
              <w:autoSpaceDE w:val="0"/>
              <w:autoSpaceDN w:val="0"/>
              <w:adjustRightInd w:val="0"/>
              <w:spacing w:after="0"/>
              <w:textAlignment w:val="baseline"/>
              <w:rPr>
                <w:bCs/>
                <w:lang w:val="en-US"/>
              </w:rPr>
            </w:pPr>
            <w:r>
              <w:rPr>
                <w:bCs/>
                <w:lang w:val="en-US"/>
              </w:rPr>
              <w:t>Specify necessary signalling/mechanism(s) as per the identified potential specification impacts in FS_NR_AIML_Air , including:</w:t>
            </w:r>
          </w:p>
          <w:p w14:paraId="7121AE8F">
            <w:pPr>
              <w:pStyle w:val="135"/>
              <w:numPr>
                <w:ilvl w:val="1"/>
                <w:numId w:val="10"/>
              </w:numPr>
              <w:overflowPunct w:val="0"/>
              <w:autoSpaceDE w:val="0"/>
              <w:autoSpaceDN w:val="0"/>
              <w:adjustRightInd w:val="0"/>
              <w:spacing w:after="0"/>
              <w:textAlignment w:val="baseline"/>
              <w:rPr>
                <w:bCs/>
                <w:lang w:val="en-US"/>
              </w:rPr>
            </w:pPr>
            <w:r>
              <w:rPr>
                <w:bCs/>
                <w:lang w:val="en-US"/>
              </w:rPr>
              <w:t>Model pairing procedure including ID and applicability reporting</w:t>
            </w:r>
          </w:p>
          <w:p w14:paraId="3432A3A1">
            <w:pPr>
              <w:pStyle w:val="135"/>
              <w:numPr>
                <w:ilvl w:val="1"/>
                <w:numId w:val="10"/>
              </w:numPr>
              <w:overflowPunct w:val="0"/>
              <w:autoSpaceDE w:val="0"/>
              <w:autoSpaceDN w:val="0"/>
              <w:adjustRightInd w:val="0"/>
              <w:spacing w:after="0"/>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5BC1EBF">
            <w:pPr>
              <w:pStyle w:val="135"/>
              <w:numPr>
                <w:ilvl w:val="1"/>
                <w:numId w:val="10"/>
              </w:numPr>
              <w:overflowPunct w:val="0"/>
              <w:autoSpaceDE w:val="0"/>
              <w:autoSpaceDN w:val="0"/>
              <w:adjustRightInd w:val="0"/>
              <w:spacing w:after="0"/>
              <w:textAlignment w:val="baseline"/>
              <w:rPr>
                <w:bCs/>
                <w:lang w:val="en-US"/>
              </w:rPr>
            </w:pPr>
            <w:r>
              <w:rPr>
                <w:bCs/>
                <w:lang w:val="en-US"/>
              </w:rPr>
              <w:t>NW and UE side data collection for training,</w:t>
            </w:r>
          </w:p>
          <w:p w14:paraId="6CF45542">
            <w:pPr>
              <w:pStyle w:val="135"/>
              <w:numPr>
                <w:ilvl w:val="2"/>
                <w:numId w:val="10"/>
              </w:numPr>
              <w:overflowPunct w:val="0"/>
              <w:autoSpaceDE w:val="0"/>
              <w:autoSpaceDN w:val="0"/>
              <w:adjustRightInd w:val="0"/>
              <w:spacing w:after="0"/>
              <w:textAlignment w:val="baseline"/>
              <w:rPr>
                <w:bCs/>
                <w:lang w:val="en-US"/>
              </w:rPr>
            </w:pPr>
            <w:r>
              <w:rPr>
                <w:bCs/>
                <w:lang w:val="en-US"/>
              </w:rPr>
              <w:t>Target CSI format</w:t>
            </w:r>
          </w:p>
          <w:p w14:paraId="7477B6F1">
            <w:pPr>
              <w:pStyle w:val="135"/>
              <w:numPr>
                <w:ilvl w:val="2"/>
                <w:numId w:val="10"/>
              </w:numPr>
              <w:overflowPunct w:val="0"/>
              <w:autoSpaceDE w:val="0"/>
              <w:autoSpaceDN w:val="0"/>
              <w:adjustRightInd w:val="0"/>
              <w:spacing w:after="0"/>
              <w:textAlignment w:val="baseline"/>
              <w:rPr>
                <w:bCs/>
                <w:lang w:val="en-US"/>
              </w:rPr>
            </w:pPr>
            <w:r>
              <w:rPr>
                <w:bCs/>
                <w:lang w:val="en-US"/>
              </w:rPr>
              <w:t>Note The framework defined in BM and CSI prediction use cases could be reused</w:t>
            </w:r>
          </w:p>
          <w:p w14:paraId="5F839CB6">
            <w:pPr>
              <w:pStyle w:val="135"/>
              <w:numPr>
                <w:ilvl w:val="1"/>
                <w:numId w:val="10"/>
              </w:numPr>
              <w:overflowPunct w:val="0"/>
              <w:autoSpaceDE w:val="0"/>
              <w:autoSpaceDN w:val="0"/>
              <w:adjustRightInd w:val="0"/>
              <w:spacing w:after="0"/>
              <w:textAlignment w:val="baseline"/>
              <w:rPr>
                <w:bCs/>
                <w:lang w:val="en-US"/>
              </w:rPr>
            </w:pPr>
            <w:r>
              <w:rPr>
                <w:bCs/>
                <w:lang w:val="en-US"/>
              </w:rPr>
              <w:t xml:space="preserve">Specify performance monitoring </w:t>
            </w:r>
          </w:p>
          <w:p w14:paraId="571FC8BC">
            <w:pPr>
              <w:overflowPunct w:val="0"/>
              <w:autoSpaceDE w:val="0"/>
              <w:autoSpaceDN w:val="0"/>
              <w:adjustRightInd w:val="0"/>
              <w:spacing w:after="0"/>
              <w:textAlignment w:val="baseline"/>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7964AD3C">
            <w:pPr>
              <w:pStyle w:val="135"/>
              <w:numPr>
                <w:ilvl w:val="0"/>
                <w:numId w:val="11"/>
              </w:numPr>
              <w:overflowPunct w:val="0"/>
              <w:autoSpaceDE w:val="0"/>
              <w:autoSpaceDN w:val="0"/>
              <w:adjustRightInd w:val="0"/>
              <w:spacing w:after="0"/>
              <w:textAlignment w:val="baseline"/>
              <w:rPr>
                <w:bCs/>
                <w:lang w:val="en-US"/>
              </w:rPr>
            </w:pPr>
            <w:r>
              <w:rPr>
                <w:bCs/>
                <w:lang w:val="en-US"/>
              </w:rPr>
              <w:t>Fully defined/specified reference model (“Direction C”) with RAN1 scalability study outcome taken into account [RAN4/RAN1] – check-point in RAN#110 upon RAN4 feedback</w:t>
            </w:r>
          </w:p>
          <w:p w14:paraId="2656C7F1">
            <w:pPr>
              <w:pStyle w:val="135"/>
              <w:numPr>
                <w:ilvl w:val="1"/>
                <w:numId w:val="11"/>
              </w:numPr>
              <w:overflowPunct w:val="0"/>
              <w:autoSpaceDE w:val="0"/>
              <w:autoSpaceDN w:val="0"/>
              <w:adjustRightInd w:val="0"/>
              <w:spacing w:after="0"/>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BCB8C08">
            <w:pPr>
              <w:pStyle w:val="135"/>
              <w:numPr>
                <w:ilvl w:val="0"/>
                <w:numId w:val="11"/>
              </w:numPr>
              <w:overflowPunct w:val="0"/>
              <w:autoSpaceDE w:val="0"/>
              <w:autoSpaceDN w:val="0"/>
              <w:adjustRightInd w:val="0"/>
              <w:spacing w:after="0"/>
              <w:textAlignment w:val="baseline"/>
              <w:rPr>
                <w:lang w:val="en-US" w:eastAsia="zh-CN"/>
              </w:rPr>
            </w:pPr>
            <w:r>
              <w:rPr>
                <w:bCs/>
                <w:lang w:val="en-US"/>
              </w:rPr>
              <w:t>Specification of standardized dataset format/content plus dataset exchange (“Direction A, sub-option 4-1”) [RAN1/RAN2/RAN3/RAN4] – check-point in RAN#110 upon SA WG feedback</w:t>
            </w:r>
          </w:p>
        </w:tc>
      </w:tr>
    </w:tbl>
    <w:p w14:paraId="49688563">
      <w:pPr>
        <w:spacing w:beforeLines="50" w:after="120" w:afterLines="50"/>
        <w:jc w:val="both"/>
        <w:rPr>
          <w:rFonts w:hint="eastAsia"/>
          <w:lang w:val="en-US" w:eastAsia="zh-CN"/>
        </w:rPr>
      </w:pPr>
      <w:r>
        <w:rPr>
          <w:rFonts w:hint="eastAsia"/>
          <w:lang w:val="en-US" w:eastAsia="zh-CN"/>
        </w:rPr>
        <w:t>In this contribution, we will focus on the requirements of AI for 6G RAN and 6G RAN for AI.</w:t>
      </w:r>
    </w:p>
    <w:p w14:paraId="1D368299">
      <w:pPr>
        <w:pStyle w:val="2"/>
        <w:rPr>
          <w:lang w:val="en-US" w:eastAsia="zh-CN"/>
        </w:rPr>
      </w:pPr>
      <w:r>
        <w:rPr>
          <w:rFonts w:hint="default"/>
          <w:lang w:eastAsia="zh-CN"/>
        </w:rPr>
        <w:t xml:space="preserve">Requirements of </w:t>
      </w:r>
      <w:r>
        <w:rPr>
          <w:rFonts w:hint="eastAsia"/>
          <w:lang w:val="en-US" w:eastAsia="zh-CN"/>
        </w:rPr>
        <w:t>AI for 6G RAN</w:t>
      </w:r>
    </w:p>
    <w:p w14:paraId="1FFBC8C1">
      <w:pPr>
        <w:rPr>
          <w:b/>
          <w:bCs/>
          <w:sz w:val="24"/>
          <w:szCs w:val="24"/>
          <w:lang w:eastAsia="zh-CN"/>
        </w:rPr>
      </w:pPr>
      <w:r>
        <w:rPr>
          <w:b/>
          <w:bCs/>
          <w:sz w:val="24"/>
          <w:szCs w:val="24"/>
          <w:lang w:eastAsia="zh-CN"/>
        </w:rPr>
        <w:t>2.1 Discussion</w:t>
      </w:r>
    </w:p>
    <w:p w14:paraId="7BF82B86">
      <w:pPr>
        <w:jc w:val="both"/>
        <w:rPr>
          <w:rFonts w:hint="default"/>
          <w:b w:val="0"/>
          <w:bCs w:val="0"/>
          <w:sz w:val="20"/>
          <w:szCs w:val="20"/>
          <w:lang w:eastAsia="zh-CN"/>
        </w:rPr>
      </w:pPr>
      <w:r>
        <w:rPr>
          <w:rFonts w:hint="default"/>
          <w:b w:val="0"/>
          <w:bCs w:val="0"/>
          <w:sz w:val="20"/>
          <w:szCs w:val="20"/>
          <w:lang w:eastAsia="zh-CN"/>
        </w:rPr>
        <w:t xml:space="preserve">Since Release 18, the exploration of AI-enhanced NR air interface design has been initiated. In RAN1, study items have been established on areas such as beam management, CSI compression, CSI prediction, and positioning accuracy enhancement, with extensive simulation results already demonstrating the advantages of AI-based approaches. In RAN2, study items have been launched on AI for mobility and life cycle management (LCM), including aspects of data collection, training, inference, and model storage. </w:t>
      </w:r>
    </w:p>
    <w:p w14:paraId="348731E7">
      <w:pPr>
        <w:jc w:val="both"/>
        <w:rPr>
          <w:rFonts w:hint="eastAsia"/>
          <w:b w:val="0"/>
          <w:bCs w:val="0"/>
          <w:sz w:val="20"/>
          <w:szCs w:val="20"/>
          <w:lang w:val="en-US" w:eastAsia="zh-CN"/>
        </w:rPr>
      </w:pPr>
      <w:r>
        <w:rPr>
          <w:rFonts w:hint="eastAsia"/>
          <w:b w:val="0"/>
          <w:bCs w:val="0"/>
          <w:sz w:val="20"/>
          <w:szCs w:val="20"/>
          <w:lang w:val="en-US" w:eastAsia="zh-CN"/>
        </w:rPr>
        <w:t>It is expected that the AI for NR air interface design established in 5G/5G-Advanced will serve as the foundation. For AI for 6G RAN, these technologies should be further enhanced and refined. In addition, other potential use cases may be further defined and explored.</w:t>
      </w:r>
    </w:p>
    <w:p w14:paraId="7683207A">
      <w:pPr>
        <w:numPr>
          <w:ilvl w:val="0"/>
          <w:numId w:val="12"/>
        </w:numPr>
        <w:spacing w:before="120" w:after="180"/>
        <w:ind w:left="0" w:leftChars="0" w:firstLine="0" w:firstLineChars="0"/>
        <w:jc w:val="both"/>
        <w:rPr>
          <w:rFonts w:hint="default"/>
          <w:b/>
          <w:bCs/>
          <w:sz w:val="20"/>
          <w:szCs w:val="20"/>
          <w:lang w:val="en-US" w:eastAsia="zh-CN"/>
        </w:rPr>
      </w:pPr>
      <w:r>
        <w:rPr>
          <w:rFonts w:hint="eastAsia"/>
          <w:b/>
          <w:bCs/>
          <w:sz w:val="20"/>
          <w:szCs w:val="20"/>
          <w:lang w:val="en-US" w:eastAsia="zh-CN"/>
        </w:rPr>
        <w:t>AI-based coding and modulation</w:t>
      </w:r>
    </w:p>
    <w:p w14:paraId="5E645FC1">
      <w:pPr>
        <w:numPr>
          <w:ilvl w:val="0"/>
          <w:numId w:val="0"/>
        </w:numPr>
        <w:spacing w:before="120" w:after="180"/>
        <w:ind w:leftChars="0"/>
        <w:jc w:val="both"/>
        <w:rPr>
          <w:rFonts w:hint="default"/>
          <w:b w:val="0"/>
          <w:bCs w:val="0"/>
          <w:sz w:val="20"/>
          <w:szCs w:val="20"/>
          <w:highlight w:val="yellow"/>
          <w:lang w:val="en-US" w:eastAsia="zh-CN"/>
        </w:rPr>
      </w:pPr>
      <w:r>
        <w:rPr>
          <w:rFonts w:hint="default"/>
          <w:b w:val="0"/>
          <w:bCs w:val="0"/>
          <w:sz w:val="20"/>
          <w:szCs w:val="20"/>
          <w:lang w:val="en-US" w:eastAsia="zh-CN"/>
        </w:rPr>
        <w:t>AI-based coding and modulation is an emerging research direction for 6G physical layer design, aiming to surpass the limitations of conventional LDPC/Polar codes and fixed QAM constellations. By leveraging deep learning and reinforcement learning, AI can jointly optimize coding and constellation mapping according to real-time channel conditions, user mobility, and service requirements. AI-driven methods also provide flexibility for heterogeneous networks, reducing complexity through learned approximations while maintaining high performance. As a result, AI-enhanced coding and modulation is expected to become a core enabler of adaptive, service-aware, and intelligent 6G air interface design.</w:t>
      </w:r>
      <w:r>
        <w:rPr>
          <w:rFonts w:hint="eastAsia"/>
          <w:b w:val="0"/>
          <w:bCs w:val="0"/>
          <w:sz w:val="20"/>
          <w:szCs w:val="20"/>
          <w:lang w:val="en-US" w:eastAsia="zh-CN"/>
        </w:rPr>
        <w:t xml:space="preserve"> In addition, AI can enable joint source-channel coding and modulation (JSCC/JSCCM), where compression, error protection, and symbol mapping are </w:t>
      </w:r>
      <w:r>
        <w:rPr>
          <w:rFonts w:hint="eastAsia"/>
          <w:b w:val="0"/>
          <w:bCs w:val="0"/>
          <w:sz w:val="20"/>
          <w:szCs w:val="20"/>
          <w:highlight w:val="none"/>
          <w:lang w:val="en-US" w:eastAsia="zh-CN"/>
        </w:rPr>
        <w:t>co-optimized within an end-to-end learning framework, further enhancing efficiency and robustness for 6G services. Moreover, by adopting two-sided AI models, where the transmitter and receiver coordinate model parameters, the 6G RAN shall support interoperability, alignment, robustness, and cross-vendor deployment, thereby ensuring consistent enablement of AI-based coding and modulation across heterogeneous networks.</w:t>
      </w:r>
    </w:p>
    <w:p w14:paraId="72C1307D">
      <w:pPr>
        <w:numPr>
          <w:ilvl w:val="0"/>
          <w:numId w:val="12"/>
        </w:numPr>
        <w:spacing w:before="120" w:after="180"/>
        <w:ind w:left="0" w:leftChars="0" w:firstLine="0" w:firstLineChars="0"/>
        <w:jc w:val="both"/>
        <w:rPr>
          <w:rFonts w:hint="default"/>
          <w:b/>
          <w:bCs/>
          <w:sz w:val="20"/>
          <w:szCs w:val="20"/>
          <w:lang w:val="en-US" w:eastAsia="zh-CN"/>
        </w:rPr>
      </w:pPr>
      <w:r>
        <w:rPr>
          <w:rFonts w:hint="eastAsia"/>
          <w:b/>
          <w:bCs/>
          <w:sz w:val="20"/>
          <w:szCs w:val="20"/>
          <w:lang w:val="en-US" w:eastAsia="zh-CN"/>
        </w:rPr>
        <w:t>AI-based channel estimation, equalization and receiver design</w:t>
      </w:r>
    </w:p>
    <w:p w14:paraId="461EB4F5">
      <w:pPr>
        <w:numPr>
          <w:ilvl w:val="0"/>
          <w:numId w:val="0"/>
        </w:numPr>
        <w:spacing w:before="120" w:after="180"/>
        <w:ind w:leftChars="0"/>
        <w:jc w:val="both"/>
        <w:rPr>
          <w:rFonts w:hint="default"/>
          <w:b w:val="0"/>
          <w:bCs w:val="0"/>
          <w:sz w:val="20"/>
          <w:szCs w:val="20"/>
          <w:lang w:val="en-US" w:eastAsia="zh-CN"/>
        </w:rPr>
      </w:pPr>
      <w:r>
        <w:rPr>
          <w:rFonts w:hint="default"/>
          <w:b w:val="0"/>
          <w:bCs w:val="0"/>
          <w:sz w:val="20"/>
          <w:szCs w:val="20"/>
          <w:lang w:val="en-US" w:eastAsia="zh-CN"/>
        </w:rPr>
        <w:t>AI-based channel estimation, equalization, and receiver design represent key innovations for 6G physical layer, enabling robust operation under highly dynamic and complex wireless environments. Traditional estimation and equalization rely on linear methods such as</w:t>
      </w:r>
      <w:r>
        <w:rPr>
          <w:rFonts w:hint="eastAsia"/>
          <w:b w:val="0"/>
          <w:bCs w:val="0"/>
          <w:sz w:val="20"/>
          <w:szCs w:val="20"/>
          <w:lang w:val="en-US" w:eastAsia="zh-CN"/>
        </w:rPr>
        <w:t xml:space="preserve"> Linear Minimum Mean Square Error</w:t>
      </w:r>
      <w:r>
        <w:rPr>
          <w:rFonts w:hint="default"/>
          <w:b w:val="0"/>
          <w:bCs w:val="0"/>
          <w:sz w:val="20"/>
          <w:szCs w:val="20"/>
          <w:lang w:val="en-US" w:eastAsia="zh-CN"/>
        </w:rPr>
        <w:t xml:space="preserve"> </w:t>
      </w:r>
      <w:r>
        <w:rPr>
          <w:rFonts w:hint="eastAsia"/>
          <w:b w:val="0"/>
          <w:bCs w:val="0"/>
          <w:sz w:val="20"/>
          <w:szCs w:val="20"/>
          <w:lang w:val="en-US" w:eastAsia="zh-CN"/>
        </w:rPr>
        <w:t>(</w:t>
      </w:r>
      <w:r>
        <w:rPr>
          <w:rFonts w:hint="default"/>
          <w:b w:val="0"/>
          <w:bCs w:val="0"/>
          <w:sz w:val="20"/>
          <w:szCs w:val="20"/>
          <w:lang w:val="en-US" w:eastAsia="zh-CN"/>
        </w:rPr>
        <w:t>LMMSE</w:t>
      </w:r>
      <w:r>
        <w:rPr>
          <w:rFonts w:hint="eastAsia"/>
          <w:b w:val="0"/>
          <w:bCs w:val="0"/>
          <w:sz w:val="20"/>
          <w:szCs w:val="20"/>
          <w:lang w:val="en-US" w:eastAsia="zh-CN"/>
        </w:rPr>
        <w:t>)</w:t>
      </w:r>
      <w:r>
        <w:rPr>
          <w:rFonts w:hint="default"/>
          <w:b w:val="0"/>
          <w:bCs w:val="0"/>
          <w:sz w:val="20"/>
          <w:szCs w:val="20"/>
          <w:lang w:val="en-US" w:eastAsia="zh-CN"/>
        </w:rPr>
        <w:t>, which are sensitive to pilot overhead, channel non-linearities, and hardware impairments. By contrast, AI techniques leverage deep neural networks and graph-based models to learn non-linear channel characteristics directly from received signals, enabling more accurate estimation with reduced pilot resources. For equalization, AI-driven approaches can approximate or outperform MMSE detectors with significantly lower computational complexity, while also compensating for hardware effects such as IQ imbalance or phase noise. Furthermore, end-to-end AI-based receiver designs integrate channel estimation, detection, and decoding into a unified learning framework, jointly optimized for bit error rate, throughput, or latency, thereby surpassing the modular limitations of conventional receivers. Reinforcement learning can further adapt equalization strategies in real time under fast-fading and interference-limited conditions. Overall, AI-based receiver design enhances robustness, reduces signaling overhead, and provides adaptability to heterogeneous deployment scenarios, making it a critical enabler for reliable and efficient 6G air interface solutions.</w:t>
      </w:r>
    </w:p>
    <w:p w14:paraId="5FCFC935">
      <w:pPr>
        <w:numPr>
          <w:ilvl w:val="0"/>
          <w:numId w:val="12"/>
        </w:numPr>
        <w:spacing w:before="120" w:after="180"/>
        <w:ind w:left="0" w:leftChars="0" w:firstLine="0" w:firstLineChars="0"/>
        <w:jc w:val="both"/>
        <w:rPr>
          <w:rFonts w:hint="default"/>
          <w:b/>
          <w:bCs/>
          <w:sz w:val="20"/>
          <w:szCs w:val="20"/>
          <w:lang w:val="en-US" w:eastAsia="zh-CN"/>
        </w:rPr>
      </w:pPr>
      <w:r>
        <w:rPr>
          <w:rFonts w:hint="default"/>
          <w:b/>
          <w:bCs/>
          <w:sz w:val="20"/>
          <w:szCs w:val="20"/>
          <w:lang w:val="en-US" w:eastAsia="zh-CN"/>
        </w:rPr>
        <w:t>AI-based precoding design</w:t>
      </w:r>
    </w:p>
    <w:p w14:paraId="403473E0">
      <w:pPr>
        <w:numPr>
          <w:ilvl w:val="0"/>
          <w:numId w:val="0"/>
        </w:numPr>
        <w:spacing w:before="120" w:after="180"/>
        <w:ind w:leftChars="0"/>
        <w:jc w:val="both"/>
        <w:rPr>
          <w:rFonts w:hint="default"/>
          <w:b w:val="0"/>
          <w:bCs w:val="0"/>
          <w:sz w:val="20"/>
          <w:szCs w:val="20"/>
          <w:lang w:val="en-US" w:eastAsia="zh-CN"/>
        </w:rPr>
      </w:pPr>
      <w:r>
        <w:rPr>
          <w:rFonts w:hint="default"/>
          <w:b w:val="0"/>
          <w:bCs w:val="0"/>
          <w:sz w:val="20"/>
          <w:szCs w:val="20"/>
          <w:lang w:val="en-US" w:eastAsia="zh-CN"/>
        </w:rPr>
        <w:t>AI-based precoding design is emerging as a promising approach to enhance MIMO performance in 6G systems. Unlike traditional Singular Value Decomposition</w:t>
      </w:r>
      <w:r>
        <w:rPr>
          <w:rFonts w:hint="eastAsia"/>
          <w:b w:val="0"/>
          <w:bCs w:val="0"/>
          <w:sz w:val="20"/>
          <w:szCs w:val="20"/>
          <w:lang w:val="en-US" w:eastAsia="zh-CN"/>
        </w:rPr>
        <w:t xml:space="preserve"> (</w:t>
      </w:r>
      <w:r>
        <w:rPr>
          <w:rFonts w:hint="default"/>
          <w:b w:val="0"/>
          <w:bCs w:val="0"/>
          <w:sz w:val="20"/>
          <w:szCs w:val="20"/>
          <w:lang w:val="en-US" w:eastAsia="zh-CN"/>
        </w:rPr>
        <w:t>SVD</w:t>
      </w:r>
      <w:r>
        <w:rPr>
          <w:rFonts w:hint="eastAsia"/>
          <w:b w:val="0"/>
          <w:bCs w:val="0"/>
          <w:sz w:val="20"/>
          <w:szCs w:val="20"/>
          <w:lang w:val="en-US" w:eastAsia="zh-CN"/>
        </w:rPr>
        <w:t>)</w:t>
      </w:r>
      <w:r>
        <w:rPr>
          <w:rFonts w:hint="default"/>
          <w:b w:val="0"/>
          <w:bCs w:val="0"/>
          <w:sz w:val="20"/>
          <w:szCs w:val="20"/>
          <w:lang w:val="en-US" w:eastAsia="zh-CN"/>
        </w:rPr>
        <w:t xml:space="preserve"> or codebook-based schemes, AI can directly learn the mapping from channel state information (CSI) or received signal features to near-optimal precoding matrices. </w:t>
      </w:r>
      <w:r>
        <w:rPr>
          <w:rFonts w:hint="eastAsia"/>
          <w:b w:val="0"/>
          <w:bCs w:val="0"/>
          <w:sz w:val="20"/>
          <w:szCs w:val="20"/>
          <w:lang w:val="en-US" w:eastAsia="zh-CN"/>
        </w:rPr>
        <w:t>AI</w:t>
      </w:r>
      <w:r>
        <w:rPr>
          <w:rFonts w:hint="default"/>
          <w:b w:val="0"/>
          <w:bCs w:val="0"/>
          <w:sz w:val="20"/>
          <w:szCs w:val="20"/>
          <w:lang w:val="en-US" w:eastAsia="zh-CN"/>
        </w:rPr>
        <w:t xml:space="preserve"> models such as Convolutional Neural Networks</w:t>
      </w:r>
      <w:r>
        <w:rPr>
          <w:rFonts w:hint="eastAsia"/>
          <w:b w:val="0"/>
          <w:bCs w:val="0"/>
          <w:sz w:val="20"/>
          <w:szCs w:val="20"/>
          <w:lang w:val="en-US" w:eastAsia="zh-CN"/>
        </w:rPr>
        <w:t xml:space="preserve"> (</w:t>
      </w:r>
      <w:r>
        <w:rPr>
          <w:rFonts w:hint="default"/>
          <w:b w:val="0"/>
          <w:bCs w:val="0"/>
          <w:sz w:val="20"/>
          <w:szCs w:val="20"/>
          <w:lang w:val="en-US" w:eastAsia="zh-CN"/>
        </w:rPr>
        <w:t>CNNs</w:t>
      </w:r>
      <w:r>
        <w:rPr>
          <w:rFonts w:hint="eastAsia"/>
          <w:b w:val="0"/>
          <w:bCs w:val="0"/>
          <w:sz w:val="20"/>
          <w:szCs w:val="20"/>
          <w:lang w:val="en-US" w:eastAsia="zh-CN"/>
        </w:rPr>
        <w:t>)</w:t>
      </w:r>
      <w:r>
        <w:rPr>
          <w:rFonts w:hint="default"/>
          <w:b w:val="0"/>
          <w:bCs w:val="0"/>
          <w:sz w:val="20"/>
          <w:szCs w:val="20"/>
          <w:lang w:val="en-US" w:eastAsia="zh-CN"/>
        </w:rPr>
        <w:t>, Recurrent Neural Networks</w:t>
      </w:r>
      <w:r>
        <w:rPr>
          <w:rFonts w:hint="eastAsia"/>
          <w:b w:val="0"/>
          <w:bCs w:val="0"/>
          <w:sz w:val="20"/>
          <w:szCs w:val="20"/>
          <w:lang w:val="en-US" w:eastAsia="zh-CN"/>
        </w:rPr>
        <w:t xml:space="preserve"> (</w:t>
      </w:r>
      <w:r>
        <w:rPr>
          <w:rFonts w:hint="default"/>
          <w:b w:val="0"/>
          <w:bCs w:val="0"/>
          <w:sz w:val="20"/>
          <w:szCs w:val="20"/>
          <w:lang w:val="en-US" w:eastAsia="zh-CN"/>
        </w:rPr>
        <w:t>RNNs</w:t>
      </w:r>
      <w:r>
        <w:rPr>
          <w:rFonts w:hint="eastAsia"/>
          <w:b w:val="0"/>
          <w:bCs w:val="0"/>
          <w:sz w:val="20"/>
          <w:szCs w:val="20"/>
          <w:lang w:val="en-US" w:eastAsia="zh-CN"/>
        </w:rPr>
        <w:t>)</w:t>
      </w:r>
      <w:r>
        <w:rPr>
          <w:rFonts w:hint="default"/>
          <w:b w:val="0"/>
          <w:bCs w:val="0"/>
          <w:sz w:val="20"/>
          <w:szCs w:val="20"/>
          <w:lang w:val="en-US" w:eastAsia="zh-CN"/>
        </w:rPr>
        <w:t>, or Transformers enable non-linear feature extraction, while autoencoders can jointly compress CSI and generate efficient precoders. Reinforcement learning can further adapt precoding strategies dynamically in multi-user or interference-limited scenarios. These AI-driven techniques reduce reliance on exhaustive feedback and large codebooks, offering scalability for massive MIMO and THz channels. Moreover, they provide robustness against hardware impairments and can optimize not only for spectral efficiency but also for energy efficiency and latency.</w:t>
      </w:r>
    </w:p>
    <w:p w14:paraId="00C75A66">
      <w:pPr>
        <w:numPr>
          <w:ilvl w:val="0"/>
          <w:numId w:val="12"/>
        </w:numPr>
        <w:spacing w:before="120" w:after="180"/>
        <w:ind w:left="0" w:leftChars="0" w:firstLine="0" w:firstLineChars="0"/>
        <w:jc w:val="both"/>
        <w:rPr>
          <w:rFonts w:hint="default"/>
          <w:b/>
          <w:bCs/>
          <w:sz w:val="20"/>
          <w:szCs w:val="20"/>
          <w:lang w:val="en-US" w:eastAsia="zh-CN"/>
        </w:rPr>
      </w:pPr>
      <w:r>
        <w:rPr>
          <w:rFonts w:hint="default"/>
          <w:b/>
          <w:bCs/>
          <w:sz w:val="20"/>
          <w:szCs w:val="20"/>
          <w:lang w:val="en-US" w:eastAsia="zh-CN"/>
        </w:rPr>
        <w:t xml:space="preserve">AI-driven </w:t>
      </w:r>
      <w:r>
        <w:rPr>
          <w:rFonts w:hint="eastAsia"/>
          <w:b/>
          <w:bCs/>
          <w:sz w:val="20"/>
          <w:szCs w:val="20"/>
          <w:lang w:val="en-US" w:eastAsia="zh-CN"/>
        </w:rPr>
        <w:t>s</w:t>
      </w:r>
      <w:r>
        <w:rPr>
          <w:rFonts w:hint="default"/>
          <w:b/>
          <w:bCs/>
          <w:sz w:val="20"/>
          <w:szCs w:val="20"/>
          <w:lang w:val="en-US" w:eastAsia="zh-CN"/>
        </w:rPr>
        <w:t xml:space="preserve">ervice-aware </w:t>
      </w:r>
      <w:r>
        <w:rPr>
          <w:rFonts w:hint="eastAsia"/>
          <w:b/>
          <w:bCs/>
          <w:sz w:val="20"/>
          <w:szCs w:val="20"/>
          <w:lang w:val="en-US" w:eastAsia="zh-CN"/>
        </w:rPr>
        <w:t>p</w:t>
      </w:r>
      <w:r>
        <w:rPr>
          <w:rFonts w:hint="default"/>
          <w:b/>
          <w:bCs/>
          <w:sz w:val="20"/>
          <w:szCs w:val="20"/>
          <w:lang w:val="en-US" w:eastAsia="zh-CN"/>
        </w:rPr>
        <w:t xml:space="preserve">riority and QoS </w:t>
      </w:r>
      <w:r>
        <w:rPr>
          <w:rFonts w:hint="eastAsia"/>
          <w:b/>
          <w:bCs/>
          <w:sz w:val="20"/>
          <w:szCs w:val="20"/>
          <w:lang w:val="en-US" w:eastAsia="zh-CN"/>
        </w:rPr>
        <w:t>m</w:t>
      </w:r>
      <w:r>
        <w:rPr>
          <w:rFonts w:hint="default"/>
          <w:b/>
          <w:bCs/>
          <w:sz w:val="20"/>
          <w:szCs w:val="20"/>
          <w:lang w:val="en-US" w:eastAsia="zh-CN"/>
        </w:rPr>
        <w:t>anagement</w:t>
      </w:r>
    </w:p>
    <w:p w14:paraId="0D73E18E">
      <w:pPr>
        <w:numPr>
          <w:ilvl w:val="0"/>
          <w:numId w:val="0"/>
        </w:numPr>
        <w:spacing w:before="120" w:after="180"/>
        <w:ind w:leftChars="0"/>
        <w:jc w:val="both"/>
        <w:rPr>
          <w:rFonts w:hint="default"/>
          <w:b w:val="0"/>
          <w:bCs w:val="0"/>
          <w:sz w:val="20"/>
          <w:szCs w:val="20"/>
          <w:lang w:val="en-US" w:eastAsia="zh-CN"/>
        </w:rPr>
      </w:pPr>
      <w:r>
        <w:rPr>
          <w:rFonts w:hint="default"/>
          <w:b w:val="0"/>
          <w:bCs w:val="0"/>
          <w:sz w:val="20"/>
          <w:szCs w:val="20"/>
          <w:lang w:val="en-US" w:eastAsia="zh-CN"/>
        </w:rPr>
        <w:t xml:space="preserve">AI-driven </w:t>
      </w:r>
      <w:r>
        <w:rPr>
          <w:rFonts w:hint="eastAsia"/>
          <w:b w:val="0"/>
          <w:bCs w:val="0"/>
          <w:sz w:val="20"/>
          <w:szCs w:val="20"/>
          <w:lang w:val="en-US" w:eastAsia="zh-CN"/>
        </w:rPr>
        <w:t>s</w:t>
      </w:r>
      <w:r>
        <w:rPr>
          <w:rFonts w:hint="default"/>
          <w:b w:val="0"/>
          <w:bCs w:val="0"/>
          <w:sz w:val="20"/>
          <w:szCs w:val="20"/>
          <w:lang w:val="en-US" w:eastAsia="zh-CN"/>
        </w:rPr>
        <w:t xml:space="preserve">ervice-aware </w:t>
      </w:r>
      <w:r>
        <w:rPr>
          <w:rFonts w:hint="eastAsia"/>
          <w:b w:val="0"/>
          <w:bCs w:val="0"/>
          <w:sz w:val="20"/>
          <w:szCs w:val="20"/>
          <w:lang w:val="en-US" w:eastAsia="zh-CN"/>
        </w:rPr>
        <w:t>p</w:t>
      </w:r>
      <w:r>
        <w:rPr>
          <w:rFonts w:hint="default"/>
          <w:b w:val="0"/>
          <w:bCs w:val="0"/>
          <w:sz w:val="20"/>
          <w:szCs w:val="20"/>
          <w:lang w:val="en-US" w:eastAsia="zh-CN"/>
        </w:rPr>
        <w:t xml:space="preserve">riority and QoS </w:t>
      </w:r>
      <w:r>
        <w:rPr>
          <w:rFonts w:hint="eastAsia"/>
          <w:b w:val="0"/>
          <w:bCs w:val="0"/>
          <w:sz w:val="20"/>
          <w:szCs w:val="20"/>
          <w:lang w:val="en-US" w:eastAsia="zh-CN"/>
        </w:rPr>
        <w:t>m</w:t>
      </w:r>
      <w:r>
        <w:rPr>
          <w:rFonts w:hint="default"/>
          <w:b w:val="0"/>
          <w:bCs w:val="0"/>
          <w:sz w:val="20"/>
          <w:szCs w:val="20"/>
          <w:lang w:val="en-US" w:eastAsia="zh-CN"/>
        </w:rPr>
        <w:t>anagement builds upon existing 5G QoS frameworks, such as 5QI and GBR/non-GBR bearers, and extends them with intelligent, adaptive mechanisms for 6G networks. Instead of static mapping between traffic flows and QoS parameters, AI models dynamically learn service priorities by analyzing multi-dimensional inputs, including traffic patterns, semantic task importance, user context, and network state. Techniques such as deep reinforcement learning can optimize flow scheduling, resource allocation, and QoE assurance in real time. Moreover, AI can support cross-layer optimization by jointly considering application requirements and radio conditions, leading to more accurate service differentiation and resilience under congestion. Ultimately, AI-driven QoS management ensures flexible, user-centric, and service-aware control, enhancing both network efficiency and end-to-end experience in 6G systems.</w:t>
      </w:r>
    </w:p>
    <w:p w14:paraId="5022F390">
      <w:pPr>
        <w:numPr>
          <w:ilvl w:val="0"/>
          <w:numId w:val="12"/>
        </w:numPr>
        <w:spacing w:before="120" w:after="180"/>
        <w:ind w:left="0" w:leftChars="0" w:firstLine="0" w:firstLineChars="0"/>
        <w:jc w:val="both"/>
        <w:rPr>
          <w:rFonts w:hint="default"/>
          <w:b/>
          <w:bCs/>
          <w:sz w:val="20"/>
          <w:szCs w:val="20"/>
          <w:lang w:val="en-US" w:eastAsia="zh-CN"/>
        </w:rPr>
      </w:pPr>
      <w:r>
        <w:rPr>
          <w:rFonts w:hint="default"/>
          <w:b/>
          <w:bCs/>
          <w:sz w:val="20"/>
          <w:szCs w:val="20"/>
          <w:lang w:val="en-US" w:eastAsia="zh-CN"/>
        </w:rPr>
        <w:t>AI-based</w:t>
      </w:r>
      <w:r>
        <w:rPr>
          <w:rFonts w:hint="eastAsia"/>
          <w:b/>
          <w:bCs/>
          <w:sz w:val="20"/>
          <w:szCs w:val="20"/>
          <w:lang w:val="en-US" w:eastAsia="zh-CN"/>
        </w:rPr>
        <w:t xml:space="preserve"> multiple s</w:t>
      </w:r>
      <w:r>
        <w:rPr>
          <w:rFonts w:hint="default"/>
          <w:b/>
          <w:bCs/>
          <w:sz w:val="20"/>
          <w:szCs w:val="20"/>
          <w:lang w:val="en-US" w:eastAsia="zh-CN"/>
        </w:rPr>
        <w:t>ervice</w:t>
      </w:r>
      <w:r>
        <w:rPr>
          <w:rFonts w:hint="eastAsia"/>
          <w:b/>
          <w:bCs/>
          <w:sz w:val="20"/>
          <w:szCs w:val="20"/>
          <w:lang w:val="en-US" w:eastAsia="zh-CN"/>
        </w:rPr>
        <w:t xml:space="preserve"> and</w:t>
      </w:r>
      <w:r>
        <w:rPr>
          <w:rFonts w:hint="default"/>
          <w:b/>
          <w:bCs/>
          <w:sz w:val="20"/>
          <w:szCs w:val="20"/>
          <w:lang w:val="en-US" w:eastAsia="zh-CN"/>
        </w:rPr>
        <w:t xml:space="preserve"> </w:t>
      </w:r>
      <w:r>
        <w:rPr>
          <w:rFonts w:hint="eastAsia"/>
          <w:b/>
          <w:bCs/>
          <w:sz w:val="20"/>
          <w:szCs w:val="20"/>
          <w:lang w:val="en-US" w:eastAsia="zh-CN"/>
        </w:rPr>
        <w:t>t</w:t>
      </w:r>
      <w:r>
        <w:rPr>
          <w:rFonts w:hint="default"/>
          <w:b/>
          <w:bCs/>
          <w:sz w:val="20"/>
          <w:szCs w:val="20"/>
          <w:lang w:val="en-US" w:eastAsia="zh-CN"/>
        </w:rPr>
        <w:t xml:space="preserve">raffic </w:t>
      </w:r>
      <w:r>
        <w:rPr>
          <w:rFonts w:hint="eastAsia"/>
          <w:b/>
          <w:bCs/>
          <w:sz w:val="20"/>
          <w:szCs w:val="20"/>
          <w:lang w:val="en-US" w:eastAsia="zh-CN"/>
        </w:rPr>
        <w:t>p</w:t>
      </w:r>
      <w:r>
        <w:rPr>
          <w:rFonts w:hint="default"/>
          <w:b/>
          <w:bCs/>
          <w:sz w:val="20"/>
          <w:szCs w:val="20"/>
          <w:lang w:val="en-US" w:eastAsia="zh-CN"/>
        </w:rPr>
        <w:t>rediction</w:t>
      </w:r>
    </w:p>
    <w:p w14:paraId="2422C531">
      <w:pPr>
        <w:numPr>
          <w:ilvl w:val="0"/>
          <w:numId w:val="0"/>
        </w:numPr>
        <w:spacing w:before="120" w:after="180"/>
        <w:ind w:leftChars="0"/>
        <w:jc w:val="both"/>
        <w:rPr>
          <w:rFonts w:hint="default"/>
          <w:b w:val="0"/>
          <w:bCs w:val="0"/>
          <w:sz w:val="20"/>
          <w:szCs w:val="20"/>
          <w:lang w:val="en-US" w:eastAsia="zh-CN"/>
        </w:rPr>
      </w:pPr>
      <w:r>
        <w:rPr>
          <w:rFonts w:hint="default"/>
          <w:b w:val="0"/>
          <w:bCs w:val="0"/>
          <w:sz w:val="20"/>
          <w:szCs w:val="20"/>
          <w:lang w:val="en-US" w:eastAsia="zh-CN"/>
        </w:rPr>
        <w:t>AI-based multiple service and traffic prediction leverages advanced machine learning models to anticipate network demand patterns across diverse services, enabling proactive and efficient resource management in 6G systems. Traditional traffic prediction relies on statistical models that struggle with non-linear, bursty, and multi-service traffic characteristics. By contrast, deep learning architectures such as RNNs, Long Short-Term Memory Networks</w:t>
      </w:r>
      <w:r>
        <w:rPr>
          <w:rFonts w:hint="eastAsia"/>
          <w:b w:val="0"/>
          <w:bCs w:val="0"/>
          <w:sz w:val="20"/>
          <w:szCs w:val="20"/>
          <w:lang w:val="en-US" w:eastAsia="zh-CN"/>
        </w:rPr>
        <w:t xml:space="preserve"> (</w:t>
      </w:r>
      <w:r>
        <w:rPr>
          <w:rFonts w:hint="default"/>
          <w:b w:val="0"/>
          <w:bCs w:val="0"/>
          <w:sz w:val="20"/>
          <w:szCs w:val="20"/>
          <w:lang w:val="en-US" w:eastAsia="zh-CN"/>
        </w:rPr>
        <w:t>LSTMs</w:t>
      </w:r>
      <w:r>
        <w:rPr>
          <w:rFonts w:hint="eastAsia"/>
          <w:b w:val="0"/>
          <w:bCs w:val="0"/>
          <w:sz w:val="20"/>
          <w:szCs w:val="20"/>
          <w:lang w:val="en-US" w:eastAsia="zh-CN"/>
        </w:rPr>
        <w:t>)</w:t>
      </w:r>
      <w:r>
        <w:rPr>
          <w:rFonts w:hint="default"/>
          <w:b w:val="0"/>
          <w:bCs w:val="0"/>
          <w:sz w:val="20"/>
          <w:szCs w:val="20"/>
          <w:lang w:val="en-US" w:eastAsia="zh-CN"/>
        </w:rPr>
        <w:t>, Transformers, and graph neural networks can capture temporal dependencies, spatial correlations, and cross-service dynamics. With accurate traffic forecasts, the network can optimize spectrum allocation, energy consumption, and service prioritization, ensuring robust support for URLLC, eMBB, mMTC, and emerging semantic communication services. Ultimately, AI-based traffic prediction provides the foundation for intelligent, adaptive, and sustainable 6G resource orchestration.</w:t>
      </w:r>
    </w:p>
    <w:p w14:paraId="1B556DF1">
      <w:pPr>
        <w:rPr>
          <w:lang w:val="en-US" w:eastAsia="zh-CN"/>
        </w:rPr>
      </w:pPr>
    </w:p>
    <w:p w14:paraId="243283BE">
      <w:pPr>
        <w:jc w:val="both"/>
        <w:rPr>
          <w:rFonts w:hint="eastAsia"/>
          <w:b/>
          <w:bCs/>
          <w:lang w:val="en-US" w:eastAsia="zh-CN"/>
        </w:rPr>
      </w:pPr>
      <w:r>
        <w:rPr>
          <w:rFonts w:hint="eastAsia"/>
          <w:b/>
          <w:bCs/>
          <w:lang w:val="en-US" w:eastAsia="zh-CN"/>
        </w:rPr>
        <w:t>Proposal 1: It is proposed that, building on 5G/5G-Advanced AI/ML for RAN, 6G shall continue to enhance existing air interface technologies such as CSI compression, while further exploring and defining new 6G RAN use cases, including JSCC/JSCCM for the user/data</w:t>
      </w:r>
      <w:r>
        <w:rPr>
          <w:rFonts w:hint="eastAsia"/>
          <w:b/>
          <w:bCs/>
          <w:highlight w:val="none"/>
          <w:lang w:val="en-US" w:eastAsia="zh-CN"/>
        </w:rPr>
        <w:t xml:space="preserve"> plane, two-sided model deployment and alignment, </w:t>
      </w:r>
      <w:r>
        <w:rPr>
          <w:rFonts w:hint="eastAsia"/>
          <w:b/>
          <w:bCs/>
          <w:lang w:val="en-US" w:eastAsia="zh-CN"/>
        </w:rPr>
        <w:t xml:space="preserve">AI-based precoding design, and AI-enabled receiver design.   </w:t>
      </w:r>
    </w:p>
    <w:p w14:paraId="7C7AE4C5">
      <w:pPr>
        <w:rPr>
          <w:rFonts w:hint="eastAsia"/>
          <w:b/>
          <w:bCs/>
          <w:lang w:val="en-US" w:eastAsia="zh-CN"/>
        </w:rPr>
      </w:pPr>
    </w:p>
    <w:bookmarkEnd w:id="0"/>
    <w:p w14:paraId="0F1D5FC4">
      <w:pPr>
        <w:pStyle w:val="2"/>
        <w:rPr>
          <w:lang w:val="en-US" w:eastAsia="zh-CN"/>
        </w:rPr>
      </w:pPr>
      <w:r>
        <w:rPr>
          <w:rFonts w:hint="eastAsia"/>
          <w:lang w:val="en-US" w:eastAsia="zh-CN"/>
        </w:rPr>
        <w:t>6G RAN for New AI Services</w:t>
      </w:r>
    </w:p>
    <w:p w14:paraId="74EF9F6B">
      <w:pPr>
        <w:pStyle w:val="3"/>
        <w:rPr>
          <w:i w:val="0"/>
          <w:iCs w:val="0"/>
          <w:lang w:val="en-US" w:eastAsia="zh-CN"/>
        </w:rPr>
      </w:pPr>
      <w:r>
        <w:rPr>
          <w:rFonts w:hint="eastAsia"/>
          <w:i w:val="0"/>
          <w:iCs w:val="0"/>
          <w:lang w:val="en-US" w:eastAsia="zh-CN"/>
        </w:rPr>
        <w:t xml:space="preserve">General </w:t>
      </w:r>
    </w:p>
    <w:p w14:paraId="27C3B512">
      <w:pPr>
        <w:jc w:val="both"/>
        <w:rPr>
          <w:lang w:val="en-US" w:eastAsia="zh-CN"/>
        </w:rPr>
      </w:pPr>
      <w:r>
        <w:rPr>
          <w:rFonts w:hint="eastAsia"/>
          <w:lang w:val="en-US" w:eastAsia="zh-CN"/>
        </w:rPr>
        <w:t xml:space="preserve">As noted in the previous section, starting from Release 18, research on introducing AI-based techniques into 6G RAN has been initiated. For example, in RAN1, studies have focused on AI-assisted CSI prediction/compression and beam management, while RAN2 has investigated life cycle management (LCM) and mobility management. In RAN3, efforts have been directed towards resource management, load balancing, and energy efficiency. The advantages of AI have gradually become evident in these studies, which can all be regarded as technologies where AI serves to enhance the RAN. </w:t>
      </w:r>
    </w:p>
    <w:p w14:paraId="1A064E48">
      <w:pPr>
        <w:jc w:val="both"/>
        <w:rPr>
          <w:lang w:val="en-US" w:eastAsia="zh-CN"/>
        </w:rPr>
      </w:pPr>
      <w:r>
        <w:rPr>
          <w:rFonts w:hint="eastAsia"/>
          <w:lang w:val="en-US" w:eastAsia="zh-CN"/>
        </w:rPr>
        <w:t xml:space="preserve">With the increasing applications of AI in 6G and the continuous introduction of new AI-related use cases, enabling the 6G RAN to support AI-driven services becomes essential. For instance, the 6G RAN will need to accommodate the transmission of AI model parameters and datasets, as well as facilitate model training and fine-tuning. Unlike conventional data formats, AI-related parameters exhibit unique characteristics and require specific KPI guarantees to ensure service quality. </w:t>
      </w:r>
    </w:p>
    <w:p w14:paraId="7EF5D25B">
      <w:pPr>
        <w:jc w:val="both"/>
        <w:rPr>
          <w:rFonts w:hint="default"/>
          <w:lang w:val="en-US" w:eastAsia="zh-CN"/>
        </w:rPr>
      </w:pPr>
      <w:r>
        <w:rPr>
          <w:rFonts w:hint="eastAsia"/>
          <w:lang w:val="en-US" w:eastAsia="zh-CN"/>
        </w:rPr>
        <w:t>In our view, the deep integration of 6G RAN and AI will be a highly promising trend, particularly with the explosive emergence of large language models (LLMs) and AI agents, which are expected to drive increasingly diverse AI service demands in future 6G networks. Consequently, the 6G RAN must be enhanced to support service-aware priority scheduling, QoS management, and evaluation frameworks capable of addressing such heterogeneous requirements. Compared with conventional bit error-free transmission paradigms, these traditional approaches may fail to efficiently accommodate diverse service needs, potentially leading to resource inefficiency and limited support for intent-driven, on-demand communications. As another example, immersive communication is regarded as a typical scenario for future 6G, where massive data interactions will impose substantial overhead on the network. Under bandwidth-limited or poor transmission conditions, error propagation and packet loss can easily occur. How to ensure the quality of user experience under such circumstances poses higher demands on the design of the 6G RAN.</w:t>
      </w:r>
    </w:p>
    <w:p w14:paraId="3793E1B9">
      <w:pPr>
        <w:jc w:val="both"/>
        <w:rPr>
          <w:lang w:val="en-US" w:eastAsia="zh-CN"/>
        </w:rPr>
      </w:pPr>
      <w:r>
        <w:rPr>
          <w:rFonts w:hint="eastAsia"/>
          <w:lang w:val="en-US" w:eastAsia="zh-CN"/>
        </w:rPr>
        <w:t>However, as multiple types of AI services are expected to coexist in the network, the 6G RAN shall provide support for LCM of AI models such as updates and related parameter transmission. In addition, it shall incorporate mechanisms for performance evaluation and monitoring of AI services, as well as enhanced QoS-aware priority scheduling methods.</w:t>
      </w:r>
    </w:p>
    <w:p w14:paraId="2FC54EE9">
      <w:pPr>
        <w:jc w:val="both"/>
        <w:rPr>
          <w:rFonts w:hint="eastAsia"/>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Propose to investigate RAN for AI in 6GR, e.g. RAN provides efficient transmission capabilities and QoS management for multiple AI services, ensuring the quality of AI services in terms of accuracy, latency, and other specific key performance metrics. </w:t>
      </w:r>
    </w:p>
    <w:p w14:paraId="57EF7925">
      <w:pPr>
        <w:jc w:val="both"/>
        <w:rPr>
          <w:rFonts w:hint="default"/>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Propose to investigate RAN for AI in 6GR</w:t>
      </w:r>
      <w:r>
        <w:rPr>
          <w:rFonts w:hint="eastAsia"/>
          <w:b/>
          <w:bCs/>
          <w:lang w:val="en-US" w:eastAsia="zh-CN"/>
        </w:rPr>
        <w:t xml:space="preserve">, the RAN shall provide the high-layer with selected network status information (e.g., channel states, bit error rate, and packet loss rate) to assist high-layer strategies and thereby ensure the quality of AI services. </w:t>
      </w:r>
    </w:p>
    <w:p w14:paraId="7AA34231">
      <w:pPr>
        <w:jc w:val="both"/>
        <w:rPr>
          <w:rFonts w:hint="eastAsia"/>
          <w:b/>
          <w:bCs/>
          <w:lang w:val="en-US" w:eastAsia="zh-CN"/>
        </w:rPr>
      </w:pPr>
    </w:p>
    <w:p w14:paraId="3F710AE6">
      <w:pPr>
        <w:pStyle w:val="3"/>
        <w:rPr>
          <w:i w:val="0"/>
          <w:iCs w:val="0"/>
        </w:rPr>
      </w:pPr>
      <w:r>
        <w:rPr>
          <w:rFonts w:hint="eastAsia"/>
          <w:i w:val="0"/>
          <w:iCs w:val="0"/>
          <w:lang w:val="en-US" w:eastAsia="zh-CN"/>
        </w:rPr>
        <w:t>Potential use cases</w:t>
      </w:r>
    </w:p>
    <w:p w14:paraId="4DD91054">
      <w:pPr>
        <w:jc w:val="both"/>
        <w:rPr>
          <w:rFonts w:hint="default"/>
          <w:lang w:val="en-US" w:eastAsia="zh-CN"/>
        </w:rPr>
      </w:pPr>
      <w:r>
        <w:rPr>
          <w:rFonts w:hint="eastAsia"/>
          <w:lang w:val="en-US" w:eastAsia="zh-CN"/>
        </w:rPr>
        <w:t>In TR 22.870[3], a number of new AI use cases have been identified, such as AI agents, AI model training and inference, text-to-video generation, and GenAI applications. In addition, a wide range of use cases have also emerged in the area of immersive communications, such as real-time VR live services and mixed reality gaming. Immersive services (e.g., VR) are inherently real-time and involve the transmission of audio, video, and haptic data. The required transmission data rate is typically very high, making it difficult to ensure a consistent user experience under poor coverage or bandwidth-limited conditions. With the advent of AI, such techniques can be applied at the receiver to recover missing information and improve service continuity, even when part of the data is lost due to unreliable communication links.</w:t>
      </w:r>
    </w:p>
    <w:p w14:paraId="6EBBF39E">
      <w:pPr>
        <w:jc w:val="both"/>
        <w:rPr>
          <w:rFonts w:hint="eastAsia"/>
          <w:lang w:val="en-US" w:eastAsia="zh-CN"/>
        </w:rPr>
      </w:pPr>
      <w:r>
        <w:rPr>
          <w:rFonts w:hint="eastAsia"/>
          <w:lang w:val="en-US" w:eastAsia="zh-CN"/>
        </w:rPr>
        <w:t xml:space="preserve">In our view, beyond supporting the transmission of model-related parameters, the 6G RAN should also accommodate the transfer of inference results, semantic features, and tokens. These types of information differ fundamentally from conventional source-encoded data, such as video compressed by H.264/H.265 or images encoded with JPEG2000.  </w:t>
      </w:r>
    </w:p>
    <w:p w14:paraId="6D50D535">
      <w:pPr>
        <w:jc w:val="center"/>
        <w:rPr>
          <w:rFonts w:hint="default"/>
          <w:lang w:val="en-US" w:eastAsia="zh-CN"/>
        </w:rPr>
      </w:pPr>
      <w:r>
        <w:rPr>
          <w:rFonts w:hint="default"/>
          <w:lang w:val="en-US" w:eastAsia="zh-CN"/>
        </w:rPr>
        <w:drawing>
          <wp:inline distT="0" distB="0" distL="114300" distR="114300">
            <wp:extent cx="5723890" cy="2147570"/>
            <wp:effectExtent l="0" t="0" r="6350" b="1270"/>
            <wp:docPr id="1" name="图片 1" descr="场景+语义通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场景+语义通信"/>
                    <pic:cNvPicPr>
                      <a:picLocks noChangeAspect="1"/>
                    </pic:cNvPicPr>
                  </pic:nvPicPr>
                  <pic:blipFill>
                    <a:blip r:embed="rId8"/>
                    <a:stretch>
                      <a:fillRect/>
                    </a:stretch>
                  </pic:blipFill>
                  <pic:spPr>
                    <a:xfrm>
                      <a:off x="0" y="0"/>
                      <a:ext cx="5723890" cy="2147570"/>
                    </a:xfrm>
                    <a:prstGeom prst="rect">
                      <a:avLst/>
                    </a:prstGeom>
                  </pic:spPr>
                </pic:pic>
              </a:graphicData>
            </a:graphic>
          </wp:inline>
        </w:drawing>
      </w:r>
    </w:p>
    <w:p w14:paraId="1D8A1788">
      <w:pPr>
        <w:jc w:val="center"/>
        <w:rPr>
          <w:rFonts w:hint="default"/>
          <w:lang w:val="en-US" w:eastAsia="zh-CN"/>
        </w:rPr>
      </w:pPr>
      <w:r>
        <w:rPr>
          <w:rFonts w:hint="eastAsia"/>
          <w:lang w:val="en-US" w:eastAsia="zh-CN"/>
        </w:rPr>
        <w:t>Fig.1 Semantic communication services for diverse scenarios</w:t>
      </w:r>
    </w:p>
    <w:p w14:paraId="3D935665">
      <w:pPr>
        <w:jc w:val="both"/>
        <w:rPr>
          <w:rFonts w:hint="default"/>
          <w:lang w:val="en-US" w:eastAsia="zh-CN"/>
        </w:rPr>
      </w:pPr>
      <w:r>
        <w:rPr>
          <w:rFonts w:hint="eastAsia"/>
          <w:lang w:val="en-US" w:eastAsia="zh-CN"/>
        </w:rPr>
        <w:t xml:space="preserve">Semantic communication, envisioned as a native 6G service, shifts the focus from transmitting raw source-coded data to conveying task-relevant semantic features. As shown in Fig.1, at the source side, advanced AI models are employed to perform semantic extraction and semantic encoding, where the essential meaning or task-oriented features are distilled from original data such as text, speech, image, or sensor streams. Instead of delivering full bit streams produced by conventional codecs (e.g., H.265, JPEG2000), the 6G RAN transmits these compact semantic features across the NR air interface. At the receiver, matched AI models are utilized to perform AI-based demodulation, decoding, and semantic information recovery. Notably, aligned two-sided models shall be deployed at both the transmitter and receiver to ensure accurate information reconstruction and effective task execution. This service methods can significantly reduce redundancy, enhance efficiency, and ensure that the transmitted information aligns with the downstream task or service requirement, thereby enabling intent-driven and service/task-aware communications in 6G networks.  </w:t>
      </w:r>
    </w:p>
    <w:p w14:paraId="6EDE170A">
      <w:pPr>
        <w:jc w:val="both"/>
        <w:rPr>
          <w:rFonts w:hint="eastAsia"/>
          <w:lang w:val="en-US" w:eastAsia="zh-CN"/>
        </w:rPr>
      </w:pPr>
      <w:r>
        <w:rPr>
          <w:rFonts w:hint="eastAsia"/>
          <w:lang w:val="en-US" w:eastAsia="zh-CN"/>
        </w:rPr>
        <w:t>Semantic communication can enable a wide range of scenarios such as satellite communications, immersive communication, intelligent Internet of Vehicles, and multi-AI agent collaboration. It allows for efficient compression and on-demand transmission of information, thereby improving transmission efficiency and enhancing robustness under low SNR and dynamic transmission environments.</w:t>
      </w:r>
    </w:p>
    <w:p w14:paraId="29675D9D">
      <w:pPr>
        <w:jc w:val="both"/>
        <w:rPr>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 xml:space="preserve">6GR and RAN support new potential AI use cases, e.g. AI agent, Immersive communication, AI model inference (task-oriented communications), and semantic </w:t>
      </w:r>
      <w:r>
        <w:rPr>
          <w:b/>
          <w:bCs/>
          <w:lang w:val="en-US" w:eastAsia="zh-CN"/>
        </w:rPr>
        <w:t>communication</w:t>
      </w:r>
      <w:r>
        <w:rPr>
          <w:rFonts w:hint="eastAsia"/>
          <w:b/>
          <w:bCs/>
          <w:lang w:val="en-US" w:eastAsia="zh-CN"/>
        </w:rPr>
        <w:t>s.</w:t>
      </w:r>
      <w:bookmarkStart w:id="1" w:name="OLE_LINK26"/>
    </w:p>
    <w:p w14:paraId="7D7F06CE">
      <w:pPr>
        <w:jc w:val="both"/>
        <w:rPr>
          <w:lang w:val="en-US" w:eastAsia="zh-CN"/>
        </w:rPr>
      </w:pPr>
    </w:p>
    <w:bookmarkEnd w:id="1"/>
    <w:p w14:paraId="0D350493">
      <w:pPr>
        <w:pStyle w:val="2"/>
        <w:jc w:val="both"/>
        <w:rPr>
          <w:rFonts w:ascii="Times New Roman" w:hAnsi="Times New Roman"/>
          <w:lang w:eastAsia="zh-CN"/>
        </w:rPr>
      </w:pPr>
      <w:r>
        <w:rPr>
          <w:rFonts w:ascii="Times New Roman" w:hAnsi="Times New Roman" w:eastAsiaTheme="minorEastAsia"/>
          <w:lang w:eastAsia="zh-CN"/>
        </w:rPr>
        <w:t>Conclusions</w:t>
      </w:r>
    </w:p>
    <w:p w14:paraId="45FD3911">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1D34130B">
      <w:pPr>
        <w:jc w:val="both"/>
        <w:rPr>
          <w:rFonts w:hint="eastAsia"/>
          <w:b/>
          <w:bCs/>
          <w:lang w:val="en-US" w:eastAsia="zh-CN"/>
        </w:rPr>
      </w:pPr>
      <w:bookmarkStart w:id="2" w:name="OLE_LINK5"/>
      <w:r>
        <w:rPr>
          <w:rFonts w:hint="eastAsia"/>
          <w:b/>
          <w:bCs/>
          <w:lang w:val="en-US" w:eastAsia="zh-CN"/>
        </w:rPr>
        <w:t>Proposal 1: It is proposed that, building on 5G/5G-Advanced AI/ML for RAN, 6G shall continue to enhance existing air interface technologies such as CSI compression, while further exploring and defining new 6G RAN use cases, including JSCC/JSCCM for the user/data plane</w:t>
      </w:r>
      <w:r>
        <w:rPr>
          <w:rFonts w:hint="eastAsia"/>
          <w:b/>
          <w:bCs/>
          <w:highlight w:val="none"/>
          <w:lang w:val="en-US" w:eastAsia="zh-CN"/>
        </w:rPr>
        <w:t xml:space="preserve">, two-sided model deployment and alignment, </w:t>
      </w:r>
      <w:r>
        <w:rPr>
          <w:rFonts w:hint="eastAsia"/>
          <w:b/>
          <w:bCs/>
          <w:lang w:val="en-US" w:eastAsia="zh-CN"/>
        </w:rPr>
        <w:t xml:space="preserve">AI-based precoding design, and AI-enabled receiver design.   </w:t>
      </w:r>
    </w:p>
    <w:p w14:paraId="293A2F11">
      <w:pPr>
        <w:jc w:val="both"/>
        <w:rPr>
          <w:rFonts w:hint="eastAsia"/>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Propose to investigate RAN for AI in 6GR, e.g. RAN provides efficient transmission capabilities and QoS management for multiple AI services, ensuring the quality of AI services in terms of accuracy, latency, and other specific key performance metrics. </w:t>
      </w:r>
    </w:p>
    <w:p w14:paraId="632F9703">
      <w:pPr>
        <w:jc w:val="both"/>
        <w:rPr>
          <w:rFonts w:hint="default"/>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Propose to investigate RAN for AI in 6GR</w:t>
      </w:r>
      <w:r>
        <w:rPr>
          <w:rFonts w:hint="eastAsia"/>
          <w:b/>
          <w:bCs/>
          <w:lang w:val="en-US" w:eastAsia="zh-CN"/>
        </w:rPr>
        <w:t xml:space="preserve">, the RAN shall provide the high-layer with selected network status information (e.g., channel states, bit error rate, and packet loss rate) to assist high-layer strategies and thereby ensure the quality of AI services. </w:t>
      </w:r>
    </w:p>
    <w:p w14:paraId="1D0437F0">
      <w:pPr>
        <w:jc w:val="both"/>
        <w:rPr>
          <w:b/>
          <w:bCs/>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 xml:space="preserve">6GR and RAN support new potential AI use cases, e.g. AI agent, Immersive communication, AI model inference (task-oriented communications), and semantic </w:t>
      </w:r>
      <w:r>
        <w:rPr>
          <w:b/>
          <w:bCs/>
          <w:lang w:val="en-US" w:eastAsia="zh-CN"/>
        </w:rPr>
        <w:t>communication</w:t>
      </w:r>
      <w:r>
        <w:rPr>
          <w:rFonts w:hint="eastAsia"/>
          <w:b/>
          <w:bCs/>
          <w:lang w:val="en-US" w:eastAsia="zh-CN"/>
        </w:rPr>
        <w:t>s</w:t>
      </w:r>
      <w:r>
        <w:rPr>
          <w:b/>
          <w:bCs/>
          <w:lang w:val="en-US" w:eastAsia="zh-CN"/>
        </w:rPr>
        <w:t xml:space="preserve">. </w:t>
      </w:r>
    </w:p>
    <w:p w14:paraId="08821FB5">
      <w:pPr>
        <w:jc w:val="both"/>
        <w:rPr>
          <w:b/>
          <w:bCs/>
          <w:lang w:val="en-US" w:eastAsia="zh-CN"/>
        </w:rPr>
      </w:pPr>
    </w:p>
    <w:p w14:paraId="41916118">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0146BC4D">
      <w:pPr>
        <w:pStyle w:val="135"/>
        <w:numPr>
          <w:ilvl w:val="0"/>
          <w:numId w:val="13"/>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11B27CA4">
      <w:pPr>
        <w:pStyle w:val="135"/>
        <w:numPr>
          <w:ilvl w:val="0"/>
          <w:numId w:val="13"/>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PR-251870, </w:t>
      </w:r>
      <w:r>
        <w:rPr>
          <w:rFonts w:hint="default" w:ascii="Times New Roman" w:hAnsi="Times New Roman" w:eastAsiaTheme="minorEastAsia"/>
          <w:lang w:val="en-US" w:eastAsia="zh-CN"/>
        </w:rPr>
        <w:t>“New WI: AI/ML for NR air interface enhancements”</w:t>
      </w:r>
      <w:r>
        <w:rPr>
          <w:rFonts w:hint="eastAsia" w:ascii="Times New Roman" w:hAnsi="Times New Roman" w:eastAsiaTheme="minorEastAsia"/>
          <w:lang w:val="en-US" w:eastAsia="zh-CN"/>
        </w:rPr>
        <w:t>, RAN#108, June 2025.</w:t>
      </w:r>
    </w:p>
    <w:p w14:paraId="205E8DC6">
      <w:pPr>
        <w:pStyle w:val="135"/>
        <w:numPr>
          <w:ilvl w:val="0"/>
          <w:numId w:val="13"/>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TR 22.870, </w:t>
      </w:r>
      <w:r>
        <w:rPr>
          <w:iCs/>
        </w:rPr>
        <w:t>Study on 6G Use Cases and Service Requirements</w:t>
      </w:r>
      <w:r>
        <w:rPr>
          <w:rFonts w:hint="eastAsia" w:eastAsia="宋体"/>
          <w:iCs/>
          <w:lang w:val="en-US" w:eastAsia="zh-CN"/>
        </w:rPr>
        <w:t>.</w:t>
      </w:r>
    </w:p>
    <w:p w14:paraId="07644892"/>
    <w:p w14:paraId="2D40AF5E">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25946C53"/>
    <w:p w14:paraId="4A0C6CB4">
      <w:pPr>
        <w:keepNext/>
        <w:keepLines/>
        <w:spacing w:before="180"/>
        <w:ind w:left="1134" w:hanging="1134"/>
        <w:outlineLvl w:val="1"/>
        <w:rPr>
          <w:rFonts w:ascii="Arial" w:hAnsi="Arial"/>
          <w:sz w:val="32"/>
          <w:lang w:eastAsia="zh-CN"/>
        </w:rPr>
      </w:pPr>
      <w:r>
        <w:rPr>
          <w:rFonts w:ascii="Arial" w:hAnsi="Arial"/>
          <w:sz w:val="32"/>
          <w:lang w:eastAsia="zh-CN"/>
        </w:rPr>
        <w:t>5</w:t>
      </w:r>
      <w:r>
        <w:rPr>
          <w:rFonts w:ascii="Arial" w:hAnsi="Arial"/>
          <w:sz w:val="32"/>
          <w:lang w:eastAsia="en-US"/>
        </w:rPr>
        <w:t>.</w:t>
      </w:r>
      <w:r>
        <w:rPr>
          <w:rFonts w:ascii="Arial" w:hAnsi="Arial"/>
          <w:sz w:val="32"/>
          <w:lang w:eastAsia="zh-CN"/>
        </w:rPr>
        <w:t>4</w:t>
      </w:r>
      <w:r>
        <w:rPr>
          <w:rFonts w:ascii="Arial" w:hAnsi="Arial"/>
          <w:sz w:val="32"/>
          <w:lang w:eastAsia="en-US"/>
        </w:rPr>
        <w:tab/>
      </w:r>
      <w:r>
        <w:rPr>
          <w:rFonts w:ascii="Arial" w:hAnsi="Arial"/>
          <w:sz w:val="32"/>
          <w:lang w:eastAsia="zh-CN"/>
        </w:rPr>
        <w:t>Requirements of New and Existing Services</w:t>
      </w:r>
    </w:p>
    <w:p w14:paraId="080D4724">
      <w:pPr>
        <w:keepNext/>
        <w:keepLines/>
        <w:ind w:left="1134" w:hanging="1134"/>
        <w:outlineLvl w:val="2"/>
        <w:rPr>
          <w:rFonts w:ascii="Arial" w:hAnsi="Arial"/>
          <w:sz w:val="28"/>
          <w:lang w:val="en-US" w:eastAsia="zh-CN"/>
        </w:rPr>
      </w:pPr>
      <w:r>
        <w:rPr>
          <w:rFonts w:ascii="Arial" w:hAnsi="Arial"/>
          <w:sz w:val="28"/>
          <w:lang w:eastAsia="zh-CN"/>
        </w:rPr>
        <w:t>5.</w:t>
      </w:r>
      <w:r>
        <w:rPr>
          <w:rFonts w:hint="eastAsia" w:ascii="Arial" w:hAnsi="Arial"/>
          <w:sz w:val="28"/>
          <w:lang w:val="en-US" w:eastAsia="zh-CN"/>
        </w:rPr>
        <w:t>4</w:t>
      </w:r>
      <w:r>
        <w:rPr>
          <w:rFonts w:ascii="Arial" w:hAnsi="Arial"/>
          <w:sz w:val="28"/>
          <w:lang w:eastAsia="zh-CN"/>
        </w:rPr>
        <w:t>.</w:t>
      </w:r>
      <w:r>
        <w:rPr>
          <w:rFonts w:hint="eastAsia" w:ascii="Arial" w:hAnsi="Arial"/>
          <w:sz w:val="28"/>
          <w:lang w:val="en-US" w:eastAsia="zh-CN"/>
        </w:rPr>
        <w:t>X</w:t>
      </w:r>
      <w:r>
        <w:rPr>
          <w:rFonts w:ascii="Arial" w:hAnsi="Arial"/>
          <w:sz w:val="28"/>
          <w:lang w:eastAsia="zh-CN"/>
        </w:rPr>
        <w:tab/>
      </w:r>
      <w:r>
        <w:rPr>
          <w:rFonts w:hint="eastAsia" w:ascii="Arial" w:hAnsi="Arial"/>
          <w:sz w:val="28"/>
          <w:lang w:val="en-US" w:eastAsia="zh-CN"/>
        </w:rPr>
        <w:t>RAN for evolving AI Service</w:t>
      </w:r>
    </w:p>
    <w:p w14:paraId="1F067232">
      <w:pPr>
        <w:jc w:val="both"/>
        <w:rPr>
          <w:lang w:val="en-US" w:eastAsia="zh-CN"/>
        </w:rPr>
      </w:pPr>
      <w:r>
        <w:rPr>
          <w:rFonts w:hint="eastAsia"/>
          <w:lang w:val="en-US" w:eastAsia="zh-CN"/>
        </w:rPr>
        <w:t>A promising application of 6G RAN for AI is that the RAN provides efficient transmission capabilities, AI capabilities, computing resources, and QoS management for multiple AI services, while also exposing selected network status information (e.g., channel states, bit error rate, and packet loss rate) to higher layers. These functions aim to support high-layer strategies and ensure the quality of AI services in terms of accuracy, latency, and other key performance metrics.</w:t>
      </w:r>
    </w:p>
    <w:p w14:paraId="7BDA5A3F">
      <w:pPr>
        <w:rPr>
          <w:rFonts w:hint="default"/>
          <w:lang w:val="en-US" w:eastAsia="zh-CN"/>
        </w:rPr>
      </w:pPr>
      <w:r>
        <w:rPr>
          <w:rFonts w:hint="eastAsia"/>
          <w:lang w:val="en-US" w:eastAsia="zh-CN"/>
        </w:rPr>
        <w:t>The new potential AI use cases supported by 6G RAN are listed as follows.</w:t>
      </w:r>
    </w:p>
    <w:p w14:paraId="5D48B9AB">
      <w:pPr>
        <w:numPr>
          <w:ilvl w:val="0"/>
          <w:numId w:val="14"/>
        </w:numPr>
        <w:ind w:left="420" w:leftChars="0" w:hanging="420" w:firstLineChars="0"/>
        <w:jc w:val="both"/>
      </w:pPr>
      <w:r>
        <w:rPr>
          <w:rFonts w:hint="eastAsia"/>
          <w:b/>
          <w:bCs/>
          <w:lang w:eastAsia="zh-CN"/>
        </w:rPr>
        <w:t>AI agent</w:t>
      </w:r>
      <w:r>
        <w:rPr>
          <w:rFonts w:hint="eastAsia"/>
          <w:lang w:val="en-US" w:eastAsia="zh-CN"/>
        </w:rPr>
        <w:t xml:space="preserve">: </w:t>
      </w:r>
      <w:r>
        <w:rPr>
          <w:rFonts w:hint="eastAsia"/>
          <w:lang w:eastAsia="zh-CN"/>
        </w:rPr>
        <w:t>AI agents are envisioned in 6G as autonomous, intelligent entities capable of performing tasks on behalf of users or systems. Their collaboration</w:t>
      </w:r>
      <w:r>
        <w:rPr>
          <w:rFonts w:hint="eastAsia"/>
          <w:lang w:val="en-US" w:eastAsia="zh-CN"/>
        </w:rPr>
        <w:t xml:space="preserve">, </w:t>
      </w:r>
      <w:r>
        <w:rPr>
          <w:rFonts w:hint="eastAsia"/>
          <w:lang w:eastAsia="zh-CN"/>
        </w:rPr>
        <w:t>where multiple agents share information, coordinate decisions, and jointly execute tasks</w:t>
      </w:r>
      <w:r>
        <w:rPr>
          <w:rFonts w:hint="eastAsia"/>
          <w:lang w:val="en-US" w:eastAsia="zh-CN"/>
        </w:rPr>
        <w:t xml:space="preserve">, </w:t>
      </w:r>
      <w:r>
        <w:rPr>
          <w:rFonts w:hint="eastAsia"/>
          <w:lang w:eastAsia="zh-CN"/>
        </w:rPr>
        <w:t xml:space="preserve">enables complex services such as multi-vehicle cooperative perception, collaborative robotics, and disaster rescue planning. AI agent communications refer to the dedicated exchange of semantic features, task intents, or model parameters among agents, ensuring interoperability and timely coordination. To effectively support these emerging services, the 6G RAN </w:t>
      </w:r>
      <w:r>
        <w:rPr>
          <w:rFonts w:hint="eastAsia"/>
          <w:lang w:val="en-US" w:eastAsia="zh-CN"/>
        </w:rPr>
        <w:t xml:space="preserve">shall </w:t>
      </w:r>
      <w:r>
        <w:rPr>
          <w:rFonts w:hint="eastAsia"/>
          <w:lang w:eastAsia="zh-CN"/>
        </w:rPr>
        <w:t>provide optimized transmission for agent-related data (e.g., semantic</w:t>
      </w:r>
      <w:r>
        <w:rPr>
          <w:rFonts w:hint="eastAsia"/>
          <w:lang w:val="en-US" w:eastAsia="zh-CN"/>
        </w:rPr>
        <w:t xml:space="preserve"> features,</w:t>
      </w:r>
      <w:r>
        <w:rPr>
          <w:rFonts w:hint="eastAsia"/>
          <w:lang w:eastAsia="zh-CN"/>
        </w:rPr>
        <w:t xml:space="preserve"> tokens, model updates), QoS-aware scheduling, and network status exposure, enabling real-time decision-making and service continuity. In this way, RAN becomes a critical enabler for AI agent services, facilitating both individual agent intelligence and multi-agent collaboration across heterogeneous and dynamic environments.</w:t>
      </w:r>
    </w:p>
    <w:p w14:paraId="0A6D4EDB">
      <w:pPr>
        <w:numPr>
          <w:ilvl w:val="0"/>
          <w:numId w:val="14"/>
        </w:numPr>
        <w:ind w:left="420" w:leftChars="0" w:hanging="420" w:firstLineChars="0"/>
        <w:jc w:val="both"/>
      </w:pPr>
      <w:r>
        <w:rPr>
          <w:rFonts w:hint="eastAsia"/>
          <w:b/>
          <w:bCs/>
          <w:lang w:val="en-US" w:eastAsia="zh-CN"/>
        </w:rPr>
        <w:t>Immersive communications</w:t>
      </w:r>
      <w:r>
        <w:rPr>
          <w:rFonts w:hint="eastAsia"/>
          <w:lang w:val="en-US" w:eastAsia="zh-CN"/>
        </w:rPr>
        <w:t>: Immersive communications are anticipated to be a key 6G service, enabling real-time experiences such as XR, VR live streaming, and mixed reality gaming, where massive volumes of audio, video, and haptic data must be delivered with ultra-low latency and high reliability. Such services impose significant challenges on the RAN, particularly under bandwidth-limited or poor coverage conditions. To address these demands, the 6G RAN must evolve to provide intelligent transmission and QoS assurance for immersive data flows. In particular, AI- and semantic-based video coding can extract task-relevant semantic features and compress redundant information, thereby significantly reducing data rates while preserving user-perceived quality. By integrating semantic encoding with adaptive RAN scheduling and AI-driven dynamic coding and resource management, immersive services can be supported efficiently, with improved robustness against channel impairments and enhanced end-to-end user experiences.</w:t>
      </w:r>
    </w:p>
    <w:p w14:paraId="5B3F0C11">
      <w:pPr>
        <w:numPr>
          <w:ilvl w:val="0"/>
          <w:numId w:val="14"/>
        </w:numPr>
        <w:ind w:left="420" w:leftChars="0" w:hanging="420" w:firstLineChars="0"/>
        <w:jc w:val="both"/>
        <w:rPr>
          <w:lang w:eastAsia="zh-CN"/>
        </w:rPr>
      </w:pPr>
      <w:r>
        <w:rPr>
          <w:rFonts w:hint="eastAsia"/>
          <w:b/>
          <w:bCs/>
          <w:lang w:eastAsia="zh-CN"/>
        </w:rPr>
        <w:t>Semantic communication</w:t>
      </w:r>
      <w:r>
        <w:rPr>
          <w:rFonts w:hint="eastAsia"/>
          <w:b/>
          <w:bCs/>
          <w:lang w:val="en-US" w:eastAsia="zh-CN"/>
        </w:rPr>
        <w:t>s</w:t>
      </w:r>
      <w:r>
        <w:rPr>
          <w:rFonts w:hint="eastAsia"/>
          <w:lang w:val="en-US" w:eastAsia="zh-CN"/>
        </w:rPr>
        <w:t xml:space="preserve">: </w:t>
      </w:r>
      <w:r>
        <w:rPr>
          <w:rFonts w:hint="eastAsia"/>
          <w:lang w:eastAsia="zh-CN"/>
        </w:rPr>
        <w:t>Semantic communication</w:t>
      </w:r>
      <w:r>
        <w:rPr>
          <w:rFonts w:hint="eastAsia"/>
          <w:lang w:val="en-US" w:eastAsia="zh-CN"/>
        </w:rPr>
        <w:t>s</w:t>
      </w:r>
      <w:r>
        <w:rPr>
          <w:rFonts w:hint="eastAsia"/>
          <w:lang w:eastAsia="zh-CN"/>
        </w:rPr>
        <w:t xml:space="preserve"> </w:t>
      </w:r>
      <w:r>
        <w:rPr>
          <w:rFonts w:hint="eastAsia"/>
          <w:lang w:val="en-US" w:eastAsia="zh-CN"/>
        </w:rPr>
        <w:t xml:space="preserve">are </w:t>
      </w:r>
      <w:r>
        <w:rPr>
          <w:rFonts w:hint="eastAsia"/>
          <w:lang w:eastAsia="zh-CN"/>
        </w:rPr>
        <w:t>envisioned as a native 6G service that shifts the focus from transmitting raw source-coded data to delivering task-relevant semantic features, enabling intent-driven and service</w:t>
      </w:r>
      <w:r>
        <w:rPr>
          <w:rFonts w:hint="eastAsia"/>
          <w:lang w:val="en-US" w:eastAsia="zh-CN"/>
        </w:rPr>
        <w:t>/task</w:t>
      </w:r>
      <w:r>
        <w:rPr>
          <w:rFonts w:hint="eastAsia"/>
          <w:lang w:eastAsia="zh-CN"/>
        </w:rPr>
        <w:t>-</w:t>
      </w:r>
      <w:r>
        <w:rPr>
          <w:rFonts w:hint="eastAsia"/>
          <w:lang w:val="en-US" w:eastAsia="zh-CN"/>
        </w:rPr>
        <w:t xml:space="preserve">oriented </w:t>
      </w:r>
      <w:r>
        <w:rPr>
          <w:rFonts w:hint="eastAsia"/>
          <w:lang w:eastAsia="zh-CN"/>
        </w:rPr>
        <w:t xml:space="preserve">communications. To support such services, the 6G RAN </w:t>
      </w:r>
      <w:r>
        <w:rPr>
          <w:rFonts w:hint="eastAsia"/>
          <w:lang w:val="en-US" w:eastAsia="zh-CN"/>
        </w:rPr>
        <w:t xml:space="preserve">shall </w:t>
      </w:r>
      <w:r>
        <w:rPr>
          <w:rFonts w:hint="eastAsia"/>
          <w:lang w:eastAsia="zh-CN"/>
        </w:rPr>
        <w:t xml:space="preserve">provide mechanisms for semantic feature extraction, semantic-aware scheduling, and adaptive transmission tailored to diverse application requirements. Unlike conventional approaches (e.g., H.265 for video or JPEG2000 for images), the RAN should be capable of transmitting compressed semantic </w:t>
      </w:r>
      <w:r>
        <w:rPr>
          <w:rFonts w:hint="eastAsia"/>
          <w:lang w:val="en-US" w:eastAsia="zh-CN"/>
        </w:rPr>
        <w:t xml:space="preserve">features </w:t>
      </w:r>
      <w:r>
        <w:rPr>
          <w:rFonts w:hint="eastAsia"/>
          <w:lang w:eastAsia="zh-CN"/>
        </w:rPr>
        <w:t xml:space="preserve">or tokens that capture the essential meaning of the source, thereby improving efficiency and robustness in low-SNR or dynamic environments. Furthermore, RAN for semantic communication services </w:t>
      </w:r>
      <w:r>
        <w:rPr>
          <w:rFonts w:hint="eastAsia"/>
          <w:lang w:val="en-US" w:eastAsia="zh-CN"/>
        </w:rPr>
        <w:t>shall</w:t>
      </w:r>
      <w:r>
        <w:rPr>
          <w:rFonts w:hint="eastAsia"/>
          <w:lang w:eastAsia="zh-CN"/>
        </w:rPr>
        <w:t xml:space="preserve"> integrate AI-driven resource management, QoS </w:t>
      </w:r>
      <w:r>
        <w:rPr>
          <w:rFonts w:hint="eastAsia"/>
          <w:lang w:val="en-US" w:eastAsia="zh-CN"/>
        </w:rPr>
        <w:t>priority mapping</w:t>
      </w:r>
      <w:r>
        <w:rPr>
          <w:rFonts w:hint="eastAsia"/>
          <w:lang w:eastAsia="zh-CN"/>
        </w:rPr>
        <w:t>, and interoperability frameworks, ensuring that semantic tasks</w:t>
      </w:r>
      <w:r>
        <w:rPr>
          <w:rFonts w:hint="eastAsia"/>
          <w:lang w:val="en-US" w:eastAsia="zh-CN"/>
        </w:rPr>
        <w:t xml:space="preserve"> </w:t>
      </w:r>
      <w:r>
        <w:rPr>
          <w:rFonts w:hint="eastAsia"/>
          <w:lang w:eastAsia="zh-CN"/>
        </w:rPr>
        <w:t>such as immersive communications, AI agent collaboration, or digital twin synchronization</w:t>
      </w:r>
      <w:r>
        <w:rPr>
          <w:rFonts w:hint="eastAsia"/>
          <w:lang w:val="en-US" w:eastAsia="zh-CN"/>
        </w:rPr>
        <w:t xml:space="preserve">, </w:t>
      </w:r>
      <w:r>
        <w:rPr>
          <w:rFonts w:hint="eastAsia"/>
          <w:lang w:eastAsia="zh-CN"/>
        </w:rPr>
        <w:t>are delivered with high reliability.</w:t>
      </w:r>
    </w:p>
    <w:p w14:paraId="6A82F807">
      <w:pPr>
        <w:rPr>
          <w:lang w:eastAsia="zh-CN"/>
        </w:rPr>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9714CA2">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5A959F05">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0B75">
    <w:pPr>
      <w:pStyle w:val="38"/>
      <w:jc w:val="right"/>
    </w:pPr>
  </w:p>
  <w:p w14:paraId="37D94E63">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183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8826F"/>
    <w:multiLevelType w:val="singleLevel"/>
    <w:tmpl w:val="8BA8826F"/>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1">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2">
    <w:nsid w:val="706CEDA7"/>
    <w:multiLevelType w:val="singleLevel"/>
    <w:tmpl w:val="706CEDA7"/>
    <w:lvl w:ilvl="0" w:tentative="0">
      <w:start w:val="1"/>
      <w:numFmt w:val="decimal"/>
      <w:lvlText w:val="(%1)"/>
      <w:lvlJc w:val="left"/>
      <w:pPr>
        <w:ind w:left="425" w:hanging="425"/>
      </w:pPr>
      <w:rPr>
        <w:rFonts w:hint="default"/>
      </w:rPr>
    </w:lvl>
  </w:abstractNum>
  <w:abstractNum w:abstractNumId="13">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13"/>
  </w:num>
  <w:num w:numId="4">
    <w:abstractNumId w:val="7"/>
  </w:num>
  <w:num w:numId="5">
    <w:abstractNumId w:val="4"/>
    <w:lvlOverride w:ilvl="0">
      <w:startOverride w:val="1"/>
    </w:lvlOverride>
  </w:num>
  <w:num w:numId="6">
    <w:abstractNumId w:val="11"/>
  </w:num>
  <w:num w:numId="7">
    <w:abstractNumId w:val="10"/>
  </w:num>
  <w:num w:numId="8">
    <w:abstractNumId w:val="2"/>
  </w:num>
  <w:num w:numId="9">
    <w:abstractNumId w:val="9"/>
  </w:num>
  <w:num w:numId="10">
    <w:abstractNumId w:val="3"/>
  </w:num>
  <w:num w:numId="11">
    <w:abstractNumId w:val="8"/>
  </w:num>
  <w:num w:numId="12">
    <w:abstractNumId w:val="1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4348D1"/>
    <w:rsid w:val="017424F2"/>
    <w:rsid w:val="018D0FF1"/>
    <w:rsid w:val="019735DA"/>
    <w:rsid w:val="019839AC"/>
    <w:rsid w:val="01AB4BCB"/>
    <w:rsid w:val="02416D1B"/>
    <w:rsid w:val="026249B5"/>
    <w:rsid w:val="02805EA8"/>
    <w:rsid w:val="028E2A70"/>
    <w:rsid w:val="02BB280A"/>
    <w:rsid w:val="02D77E8E"/>
    <w:rsid w:val="02F361E7"/>
    <w:rsid w:val="032234B3"/>
    <w:rsid w:val="03493372"/>
    <w:rsid w:val="03544F87"/>
    <w:rsid w:val="035A4CAD"/>
    <w:rsid w:val="036761A6"/>
    <w:rsid w:val="036916A9"/>
    <w:rsid w:val="03755B2F"/>
    <w:rsid w:val="037C6FB6"/>
    <w:rsid w:val="03804513"/>
    <w:rsid w:val="038A7E04"/>
    <w:rsid w:val="039B7C31"/>
    <w:rsid w:val="03B10EED"/>
    <w:rsid w:val="03C85032"/>
    <w:rsid w:val="04043AA5"/>
    <w:rsid w:val="04154E94"/>
    <w:rsid w:val="041F1B2D"/>
    <w:rsid w:val="04263C93"/>
    <w:rsid w:val="04380A7C"/>
    <w:rsid w:val="044B41E0"/>
    <w:rsid w:val="044D7027"/>
    <w:rsid w:val="044F0706"/>
    <w:rsid w:val="04552D14"/>
    <w:rsid w:val="046458B7"/>
    <w:rsid w:val="048A4669"/>
    <w:rsid w:val="049F4F72"/>
    <w:rsid w:val="04B327A2"/>
    <w:rsid w:val="04C035DB"/>
    <w:rsid w:val="04C87E66"/>
    <w:rsid w:val="04CA256A"/>
    <w:rsid w:val="04ED064B"/>
    <w:rsid w:val="04FD2DB3"/>
    <w:rsid w:val="05072E76"/>
    <w:rsid w:val="0530642F"/>
    <w:rsid w:val="053D4AA7"/>
    <w:rsid w:val="055629C0"/>
    <w:rsid w:val="058E7D29"/>
    <w:rsid w:val="05AF3AE1"/>
    <w:rsid w:val="05B74771"/>
    <w:rsid w:val="05C40203"/>
    <w:rsid w:val="05CD3091"/>
    <w:rsid w:val="05D639A0"/>
    <w:rsid w:val="06264A24"/>
    <w:rsid w:val="064552D9"/>
    <w:rsid w:val="065672B0"/>
    <w:rsid w:val="067C79B2"/>
    <w:rsid w:val="06927957"/>
    <w:rsid w:val="0696055B"/>
    <w:rsid w:val="06AE48E2"/>
    <w:rsid w:val="06B237A1"/>
    <w:rsid w:val="06F53DF8"/>
    <w:rsid w:val="06F56377"/>
    <w:rsid w:val="06F6187A"/>
    <w:rsid w:val="071C5DD7"/>
    <w:rsid w:val="07347160"/>
    <w:rsid w:val="075151B2"/>
    <w:rsid w:val="076961E1"/>
    <w:rsid w:val="07926D47"/>
    <w:rsid w:val="0797780E"/>
    <w:rsid w:val="07CC5443"/>
    <w:rsid w:val="07E02DA0"/>
    <w:rsid w:val="07E7678E"/>
    <w:rsid w:val="07ED16E5"/>
    <w:rsid w:val="080829BC"/>
    <w:rsid w:val="08335367"/>
    <w:rsid w:val="08337E2C"/>
    <w:rsid w:val="08634336"/>
    <w:rsid w:val="08903B99"/>
    <w:rsid w:val="08980254"/>
    <w:rsid w:val="08A01C35"/>
    <w:rsid w:val="08A27481"/>
    <w:rsid w:val="09375566"/>
    <w:rsid w:val="09397749"/>
    <w:rsid w:val="094255AE"/>
    <w:rsid w:val="094E0AD4"/>
    <w:rsid w:val="09573962"/>
    <w:rsid w:val="098456E1"/>
    <w:rsid w:val="098766B0"/>
    <w:rsid w:val="09B94900"/>
    <w:rsid w:val="09FC5CFF"/>
    <w:rsid w:val="0A115A0D"/>
    <w:rsid w:val="0A407F4A"/>
    <w:rsid w:val="0A7F251E"/>
    <w:rsid w:val="0A8E1461"/>
    <w:rsid w:val="0A9D3C79"/>
    <w:rsid w:val="0AA7240E"/>
    <w:rsid w:val="0AB031BF"/>
    <w:rsid w:val="0AC345EC"/>
    <w:rsid w:val="0AF40E05"/>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581B94"/>
    <w:rsid w:val="0C6A7427"/>
    <w:rsid w:val="0C6B5C82"/>
    <w:rsid w:val="0C8B38AF"/>
    <w:rsid w:val="0CBB296F"/>
    <w:rsid w:val="0CCC2DEB"/>
    <w:rsid w:val="0CCF4880"/>
    <w:rsid w:val="0CED2245"/>
    <w:rsid w:val="0CF602B9"/>
    <w:rsid w:val="0D0C6C6B"/>
    <w:rsid w:val="0D2D19A9"/>
    <w:rsid w:val="0D3477AE"/>
    <w:rsid w:val="0D405013"/>
    <w:rsid w:val="0D6E4DCD"/>
    <w:rsid w:val="0DA50A51"/>
    <w:rsid w:val="0DC04CBB"/>
    <w:rsid w:val="0DEF54F6"/>
    <w:rsid w:val="0E63766F"/>
    <w:rsid w:val="0E692C27"/>
    <w:rsid w:val="0E6F10BC"/>
    <w:rsid w:val="0E7F1356"/>
    <w:rsid w:val="0E993973"/>
    <w:rsid w:val="0EB053A8"/>
    <w:rsid w:val="0EC30B46"/>
    <w:rsid w:val="0EC964EC"/>
    <w:rsid w:val="0ECB6B47"/>
    <w:rsid w:val="0EE17A34"/>
    <w:rsid w:val="0EE85502"/>
    <w:rsid w:val="0F220B5F"/>
    <w:rsid w:val="0F2A5EAE"/>
    <w:rsid w:val="0F386966"/>
    <w:rsid w:val="0F6102E8"/>
    <w:rsid w:val="0F7A7002"/>
    <w:rsid w:val="0FC90073"/>
    <w:rsid w:val="0FDF6DE2"/>
    <w:rsid w:val="0FF9201A"/>
    <w:rsid w:val="0FFC2DD8"/>
    <w:rsid w:val="10611392"/>
    <w:rsid w:val="108B0131"/>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30378C1"/>
    <w:rsid w:val="130C43DC"/>
    <w:rsid w:val="131342D8"/>
    <w:rsid w:val="13244572"/>
    <w:rsid w:val="13573BEA"/>
    <w:rsid w:val="136D14EF"/>
    <w:rsid w:val="137B0B3A"/>
    <w:rsid w:val="13E77B33"/>
    <w:rsid w:val="140B1D9B"/>
    <w:rsid w:val="140C5706"/>
    <w:rsid w:val="141A6BA3"/>
    <w:rsid w:val="14331E76"/>
    <w:rsid w:val="144C77E6"/>
    <w:rsid w:val="144D4850"/>
    <w:rsid w:val="14702016"/>
    <w:rsid w:val="147B2BFC"/>
    <w:rsid w:val="149547D4"/>
    <w:rsid w:val="14A0468C"/>
    <w:rsid w:val="15031585"/>
    <w:rsid w:val="152A4CC8"/>
    <w:rsid w:val="15491CF9"/>
    <w:rsid w:val="15597D95"/>
    <w:rsid w:val="15603576"/>
    <w:rsid w:val="15677A78"/>
    <w:rsid w:val="15CE1DD3"/>
    <w:rsid w:val="15DA19D5"/>
    <w:rsid w:val="15DB706A"/>
    <w:rsid w:val="15EA1883"/>
    <w:rsid w:val="15EA5FFF"/>
    <w:rsid w:val="16016119"/>
    <w:rsid w:val="16145F86"/>
    <w:rsid w:val="16651A31"/>
    <w:rsid w:val="168E2390"/>
    <w:rsid w:val="16980722"/>
    <w:rsid w:val="16C204D1"/>
    <w:rsid w:val="16CA5D95"/>
    <w:rsid w:val="16D62785"/>
    <w:rsid w:val="16DC468E"/>
    <w:rsid w:val="16F84F6C"/>
    <w:rsid w:val="173365A8"/>
    <w:rsid w:val="174658D3"/>
    <w:rsid w:val="17557326"/>
    <w:rsid w:val="175B6261"/>
    <w:rsid w:val="17920939"/>
    <w:rsid w:val="179F4FAA"/>
    <w:rsid w:val="17B865FB"/>
    <w:rsid w:val="17CC781A"/>
    <w:rsid w:val="17DA1F62"/>
    <w:rsid w:val="17E219BD"/>
    <w:rsid w:val="18110C4E"/>
    <w:rsid w:val="181A30AD"/>
    <w:rsid w:val="182249A5"/>
    <w:rsid w:val="183865F8"/>
    <w:rsid w:val="183F4A1B"/>
    <w:rsid w:val="1859276D"/>
    <w:rsid w:val="186639CE"/>
    <w:rsid w:val="18A256A4"/>
    <w:rsid w:val="18A26BA1"/>
    <w:rsid w:val="18B4135C"/>
    <w:rsid w:val="18C871B7"/>
    <w:rsid w:val="18D6574D"/>
    <w:rsid w:val="18E15979"/>
    <w:rsid w:val="18E51EF0"/>
    <w:rsid w:val="18F170D6"/>
    <w:rsid w:val="1906629D"/>
    <w:rsid w:val="193D1DD2"/>
    <w:rsid w:val="1964413C"/>
    <w:rsid w:val="197647DC"/>
    <w:rsid w:val="19B15F8C"/>
    <w:rsid w:val="19C31ED3"/>
    <w:rsid w:val="19CF2F48"/>
    <w:rsid w:val="19E16F05"/>
    <w:rsid w:val="1A1675E8"/>
    <w:rsid w:val="1A1934E5"/>
    <w:rsid w:val="1A262BD4"/>
    <w:rsid w:val="1A435CA4"/>
    <w:rsid w:val="1A4646AB"/>
    <w:rsid w:val="1A99370A"/>
    <w:rsid w:val="1AAF73BA"/>
    <w:rsid w:val="1AD76535"/>
    <w:rsid w:val="1AF33B52"/>
    <w:rsid w:val="1B0A43E8"/>
    <w:rsid w:val="1B577A36"/>
    <w:rsid w:val="1B664B02"/>
    <w:rsid w:val="1B75356E"/>
    <w:rsid w:val="1B7C5F6E"/>
    <w:rsid w:val="1BAA15BA"/>
    <w:rsid w:val="1BD47334"/>
    <w:rsid w:val="1BE069CA"/>
    <w:rsid w:val="1BF91AF2"/>
    <w:rsid w:val="1BFD529F"/>
    <w:rsid w:val="1C057BD0"/>
    <w:rsid w:val="1C253579"/>
    <w:rsid w:val="1C3B3518"/>
    <w:rsid w:val="1C69397B"/>
    <w:rsid w:val="1C6A38A1"/>
    <w:rsid w:val="1C7162B9"/>
    <w:rsid w:val="1C87045D"/>
    <w:rsid w:val="1CAF29D6"/>
    <w:rsid w:val="1CB65729"/>
    <w:rsid w:val="1CD46F6C"/>
    <w:rsid w:val="1CE11FE2"/>
    <w:rsid w:val="1D104B3E"/>
    <w:rsid w:val="1D39247F"/>
    <w:rsid w:val="1D7876C1"/>
    <w:rsid w:val="1D8669B4"/>
    <w:rsid w:val="1D90090F"/>
    <w:rsid w:val="1DA725C9"/>
    <w:rsid w:val="1DD24BFC"/>
    <w:rsid w:val="1DD4233A"/>
    <w:rsid w:val="1DD71083"/>
    <w:rsid w:val="1E025B9D"/>
    <w:rsid w:val="1E043A82"/>
    <w:rsid w:val="1E206EF9"/>
    <w:rsid w:val="1E556501"/>
    <w:rsid w:val="1E6F2058"/>
    <w:rsid w:val="1E881296"/>
    <w:rsid w:val="1EB573ED"/>
    <w:rsid w:val="1EB92D0B"/>
    <w:rsid w:val="1EC61653"/>
    <w:rsid w:val="1EE14DB9"/>
    <w:rsid w:val="1EE559BD"/>
    <w:rsid w:val="1F0C3A21"/>
    <w:rsid w:val="1F1A0416"/>
    <w:rsid w:val="1F1E6E1C"/>
    <w:rsid w:val="1F360B38"/>
    <w:rsid w:val="1F625134"/>
    <w:rsid w:val="1F667210"/>
    <w:rsid w:val="1F75782B"/>
    <w:rsid w:val="1FED4350"/>
    <w:rsid w:val="1FFF714D"/>
    <w:rsid w:val="200C18AC"/>
    <w:rsid w:val="2019623E"/>
    <w:rsid w:val="20221AB5"/>
    <w:rsid w:val="203D6CFC"/>
    <w:rsid w:val="205273E6"/>
    <w:rsid w:val="206F2A70"/>
    <w:rsid w:val="20820C62"/>
    <w:rsid w:val="20B1352E"/>
    <w:rsid w:val="20B36579"/>
    <w:rsid w:val="20BF6548"/>
    <w:rsid w:val="21376000"/>
    <w:rsid w:val="213E4898"/>
    <w:rsid w:val="216F2E69"/>
    <w:rsid w:val="21802BA2"/>
    <w:rsid w:val="21B2686E"/>
    <w:rsid w:val="21D13E07"/>
    <w:rsid w:val="21D22679"/>
    <w:rsid w:val="21F62C07"/>
    <w:rsid w:val="21F8754A"/>
    <w:rsid w:val="221E3C01"/>
    <w:rsid w:val="222F7A24"/>
    <w:rsid w:val="22411A5B"/>
    <w:rsid w:val="22536014"/>
    <w:rsid w:val="228C06EB"/>
    <w:rsid w:val="22921DF5"/>
    <w:rsid w:val="229675C2"/>
    <w:rsid w:val="229A6A16"/>
    <w:rsid w:val="229F0FDC"/>
    <w:rsid w:val="22BB7176"/>
    <w:rsid w:val="22BE3FD0"/>
    <w:rsid w:val="22E50E9A"/>
    <w:rsid w:val="231A0926"/>
    <w:rsid w:val="23264738"/>
    <w:rsid w:val="23420C63"/>
    <w:rsid w:val="23424069"/>
    <w:rsid w:val="234A44CD"/>
    <w:rsid w:val="235F2314"/>
    <w:rsid w:val="23C629BC"/>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5536"/>
    <w:rsid w:val="25F36963"/>
    <w:rsid w:val="260E744F"/>
    <w:rsid w:val="263F5D4F"/>
    <w:rsid w:val="26421153"/>
    <w:rsid w:val="2649655F"/>
    <w:rsid w:val="26536F0B"/>
    <w:rsid w:val="266204DF"/>
    <w:rsid w:val="267B47B0"/>
    <w:rsid w:val="267C2231"/>
    <w:rsid w:val="268F7858"/>
    <w:rsid w:val="26A73075"/>
    <w:rsid w:val="26D11EC0"/>
    <w:rsid w:val="26D74EC9"/>
    <w:rsid w:val="26DB4B00"/>
    <w:rsid w:val="27000CD3"/>
    <w:rsid w:val="270603DF"/>
    <w:rsid w:val="27407C92"/>
    <w:rsid w:val="274C7086"/>
    <w:rsid w:val="275C7709"/>
    <w:rsid w:val="277773B2"/>
    <w:rsid w:val="277C7BD6"/>
    <w:rsid w:val="278D0032"/>
    <w:rsid w:val="279F09BC"/>
    <w:rsid w:val="27A7649B"/>
    <w:rsid w:val="27B37D2F"/>
    <w:rsid w:val="27BF4EBB"/>
    <w:rsid w:val="27C83B68"/>
    <w:rsid w:val="27F532D7"/>
    <w:rsid w:val="28014A38"/>
    <w:rsid w:val="282E528A"/>
    <w:rsid w:val="283755B5"/>
    <w:rsid w:val="2874236C"/>
    <w:rsid w:val="2887358B"/>
    <w:rsid w:val="28AD3976"/>
    <w:rsid w:val="2900272D"/>
    <w:rsid w:val="2917171A"/>
    <w:rsid w:val="294246C9"/>
    <w:rsid w:val="295703E0"/>
    <w:rsid w:val="2964147D"/>
    <w:rsid w:val="296E6F52"/>
    <w:rsid w:val="29B07B75"/>
    <w:rsid w:val="29DE3B3C"/>
    <w:rsid w:val="29DF4E41"/>
    <w:rsid w:val="29EE3526"/>
    <w:rsid w:val="29F12B5D"/>
    <w:rsid w:val="29FF5B2B"/>
    <w:rsid w:val="2A290978"/>
    <w:rsid w:val="2A2C73F1"/>
    <w:rsid w:val="2A6923D0"/>
    <w:rsid w:val="2A9A6739"/>
    <w:rsid w:val="2AA2719F"/>
    <w:rsid w:val="2AC74991"/>
    <w:rsid w:val="2ACD1247"/>
    <w:rsid w:val="2AD82639"/>
    <w:rsid w:val="2ADF5D46"/>
    <w:rsid w:val="2AE20E95"/>
    <w:rsid w:val="2AFB7E9C"/>
    <w:rsid w:val="2B320B72"/>
    <w:rsid w:val="2B3247EE"/>
    <w:rsid w:val="2B33446E"/>
    <w:rsid w:val="2B6F6AC9"/>
    <w:rsid w:val="2B7277D6"/>
    <w:rsid w:val="2B7661DC"/>
    <w:rsid w:val="2BA31534"/>
    <w:rsid w:val="2BAD0C2F"/>
    <w:rsid w:val="2BDF5274"/>
    <w:rsid w:val="2BFB6435"/>
    <w:rsid w:val="2BFF71DE"/>
    <w:rsid w:val="2C2005C5"/>
    <w:rsid w:val="2C2A5683"/>
    <w:rsid w:val="2C322CE5"/>
    <w:rsid w:val="2C420DA8"/>
    <w:rsid w:val="2C684295"/>
    <w:rsid w:val="2C734DFA"/>
    <w:rsid w:val="2C784B05"/>
    <w:rsid w:val="2CA91B32"/>
    <w:rsid w:val="2CCC458F"/>
    <w:rsid w:val="2CD10A17"/>
    <w:rsid w:val="2CD15194"/>
    <w:rsid w:val="2CEA2FD5"/>
    <w:rsid w:val="2CF77EAA"/>
    <w:rsid w:val="2CFC0B7C"/>
    <w:rsid w:val="2D1903F7"/>
    <w:rsid w:val="2D1D7454"/>
    <w:rsid w:val="2D2C3644"/>
    <w:rsid w:val="2D305785"/>
    <w:rsid w:val="2D393ACC"/>
    <w:rsid w:val="2D48195B"/>
    <w:rsid w:val="2D571561"/>
    <w:rsid w:val="2DA562CC"/>
    <w:rsid w:val="2DB06383"/>
    <w:rsid w:val="2DB7418D"/>
    <w:rsid w:val="2DC06E51"/>
    <w:rsid w:val="2DDF78D0"/>
    <w:rsid w:val="2DE12DA6"/>
    <w:rsid w:val="2DEC59F1"/>
    <w:rsid w:val="2E35154B"/>
    <w:rsid w:val="2E3C0B66"/>
    <w:rsid w:val="2E804902"/>
    <w:rsid w:val="2EAC0272"/>
    <w:rsid w:val="2ED8338C"/>
    <w:rsid w:val="2EE17B1A"/>
    <w:rsid w:val="2F2776A0"/>
    <w:rsid w:val="2F2EAF64"/>
    <w:rsid w:val="2F4F0640"/>
    <w:rsid w:val="2F6F6D61"/>
    <w:rsid w:val="2F8D7711"/>
    <w:rsid w:val="2FA133CD"/>
    <w:rsid w:val="2FC873F0"/>
    <w:rsid w:val="2FD33202"/>
    <w:rsid w:val="301C429A"/>
    <w:rsid w:val="301D31C7"/>
    <w:rsid w:val="30275F10"/>
    <w:rsid w:val="3037780B"/>
    <w:rsid w:val="304D7F03"/>
    <w:rsid w:val="307A26B9"/>
    <w:rsid w:val="308B2A87"/>
    <w:rsid w:val="30A34C19"/>
    <w:rsid w:val="30A45AD9"/>
    <w:rsid w:val="30A47133"/>
    <w:rsid w:val="30B11E3E"/>
    <w:rsid w:val="30F46739"/>
    <w:rsid w:val="310061F3"/>
    <w:rsid w:val="31085D41"/>
    <w:rsid w:val="31091081"/>
    <w:rsid w:val="312A0283"/>
    <w:rsid w:val="3160655E"/>
    <w:rsid w:val="316C7AA1"/>
    <w:rsid w:val="317A1163"/>
    <w:rsid w:val="317F4543"/>
    <w:rsid w:val="31A54ACD"/>
    <w:rsid w:val="31B5119A"/>
    <w:rsid w:val="31B63EBF"/>
    <w:rsid w:val="31CA7D66"/>
    <w:rsid w:val="31D574D0"/>
    <w:rsid w:val="31EB7B4E"/>
    <w:rsid w:val="31FB5D31"/>
    <w:rsid w:val="32001619"/>
    <w:rsid w:val="323A2127"/>
    <w:rsid w:val="324D000F"/>
    <w:rsid w:val="32852D31"/>
    <w:rsid w:val="32A26E1B"/>
    <w:rsid w:val="32B545C0"/>
    <w:rsid w:val="32DF2238"/>
    <w:rsid w:val="32FB3463"/>
    <w:rsid w:val="33096AF0"/>
    <w:rsid w:val="330D3616"/>
    <w:rsid w:val="331F3816"/>
    <w:rsid w:val="33376E36"/>
    <w:rsid w:val="333B707D"/>
    <w:rsid w:val="335C27CF"/>
    <w:rsid w:val="3371744F"/>
    <w:rsid w:val="33A64BDA"/>
    <w:rsid w:val="33D7599C"/>
    <w:rsid w:val="33F752F7"/>
    <w:rsid w:val="34014CC9"/>
    <w:rsid w:val="34083CC0"/>
    <w:rsid w:val="340C4B71"/>
    <w:rsid w:val="34265206"/>
    <w:rsid w:val="344B2EFE"/>
    <w:rsid w:val="345341ED"/>
    <w:rsid w:val="3481628D"/>
    <w:rsid w:val="34900A68"/>
    <w:rsid w:val="34930BAF"/>
    <w:rsid w:val="34AF2210"/>
    <w:rsid w:val="34C8429F"/>
    <w:rsid w:val="34CD1D1C"/>
    <w:rsid w:val="34CF3538"/>
    <w:rsid w:val="34F13EEA"/>
    <w:rsid w:val="353338FD"/>
    <w:rsid w:val="3551107F"/>
    <w:rsid w:val="356C7FB1"/>
    <w:rsid w:val="357566C2"/>
    <w:rsid w:val="357E2A76"/>
    <w:rsid w:val="35C10D3F"/>
    <w:rsid w:val="35FF2D7E"/>
    <w:rsid w:val="36104342"/>
    <w:rsid w:val="361D4A43"/>
    <w:rsid w:val="365E789E"/>
    <w:rsid w:val="366A2FFA"/>
    <w:rsid w:val="368050C6"/>
    <w:rsid w:val="36AC41C0"/>
    <w:rsid w:val="36BB07A0"/>
    <w:rsid w:val="36C72259"/>
    <w:rsid w:val="36E0506A"/>
    <w:rsid w:val="36E86296"/>
    <w:rsid w:val="36F041E8"/>
    <w:rsid w:val="372C3815"/>
    <w:rsid w:val="372E694F"/>
    <w:rsid w:val="3738714A"/>
    <w:rsid w:val="373A689C"/>
    <w:rsid w:val="374B4FC3"/>
    <w:rsid w:val="37571B39"/>
    <w:rsid w:val="37AC75E6"/>
    <w:rsid w:val="37CB0D94"/>
    <w:rsid w:val="37D61448"/>
    <w:rsid w:val="38057C75"/>
    <w:rsid w:val="38323C8A"/>
    <w:rsid w:val="383A5394"/>
    <w:rsid w:val="384E136E"/>
    <w:rsid w:val="385507AA"/>
    <w:rsid w:val="386B309A"/>
    <w:rsid w:val="387463B2"/>
    <w:rsid w:val="38964FE5"/>
    <w:rsid w:val="38B86862"/>
    <w:rsid w:val="39003390"/>
    <w:rsid w:val="391D0C90"/>
    <w:rsid w:val="392A5BA3"/>
    <w:rsid w:val="397A19C7"/>
    <w:rsid w:val="39813303"/>
    <w:rsid w:val="39B17DE4"/>
    <w:rsid w:val="39B2307A"/>
    <w:rsid w:val="39D051EB"/>
    <w:rsid w:val="39D349ED"/>
    <w:rsid w:val="39D46BEB"/>
    <w:rsid w:val="39EB2094"/>
    <w:rsid w:val="3A437D3A"/>
    <w:rsid w:val="3A4D2A6B"/>
    <w:rsid w:val="3A5B3385"/>
    <w:rsid w:val="3A873A93"/>
    <w:rsid w:val="3AA67538"/>
    <w:rsid w:val="3AB177E9"/>
    <w:rsid w:val="3AB80A43"/>
    <w:rsid w:val="3AC220F7"/>
    <w:rsid w:val="3AD66601"/>
    <w:rsid w:val="3AD85F03"/>
    <w:rsid w:val="3AE555F4"/>
    <w:rsid w:val="3AE63920"/>
    <w:rsid w:val="3AED1BBB"/>
    <w:rsid w:val="3AF55DC9"/>
    <w:rsid w:val="3AFA2251"/>
    <w:rsid w:val="3B29751D"/>
    <w:rsid w:val="3B3674CD"/>
    <w:rsid w:val="3B7B016C"/>
    <w:rsid w:val="3BA15EE2"/>
    <w:rsid w:val="3BB632F5"/>
    <w:rsid w:val="3BC209E7"/>
    <w:rsid w:val="3BEB24E7"/>
    <w:rsid w:val="3BED2ADE"/>
    <w:rsid w:val="3BF85ABC"/>
    <w:rsid w:val="3C0D4642"/>
    <w:rsid w:val="3C117E6F"/>
    <w:rsid w:val="3C146221"/>
    <w:rsid w:val="3C2D5AC6"/>
    <w:rsid w:val="3C730B15"/>
    <w:rsid w:val="3C905DF7"/>
    <w:rsid w:val="3CB0362B"/>
    <w:rsid w:val="3CBB3A5D"/>
    <w:rsid w:val="3CC2763E"/>
    <w:rsid w:val="3CC3342E"/>
    <w:rsid w:val="3CFD291B"/>
    <w:rsid w:val="3D1215F7"/>
    <w:rsid w:val="3D2C346A"/>
    <w:rsid w:val="3D4A2A1A"/>
    <w:rsid w:val="3D561847"/>
    <w:rsid w:val="3D5F1DD9"/>
    <w:rsid w:val="3D6B67D2"/>
    <w:rsid w:val="3D6E7EA5"/>
    <w:rsid w:val="3D7E4729"/>
    <w:rsid w:val="3D9D6CD4"/>
    <w:rsid w:val="3DAA3D38"/>
    <w:rsid w:val="3DAE0540"/>
    <w:rsid w:val="3DC01EA5"/>
    <w:rsid w:val="3DC852DC"/>
    <w:rsid w:val="3DCD48A4"/>
    <w:rsid w:val="3DE93620"/>
    <w:rsid w:val="3DF918B9"/>
    <w:rsid w:val="3DFC60C1"/>
    <w:rsid w:val="3E52324D"/>
    <w:rsid w:val="3E8A511D"/>
    <w:rsid w:val="3E8A58AF"/>
    <w:rsid w:val="3EBD1909"/>
    <w:rsid w:val="3EC5358C"/>
    <w:rsid w:val="3F1849DB"/>
    <w:rsid w:val="3F333BBF"/>
    <w:rsid w:val="3F3B47C8"/>
    <w:rsid w:val="3F3E85CE"/>
    <w:rsid w:val="3F510E71"/>
    <w:rsid w:val="3F5C7F8B"/>
    <w:rsid w:val="3F7FE7A1"/>
    <w:rsid w:val="3FB34C03"/>
    <w:rsid w:val="3FBFFC9E"/>
    <w:rsid w:val="3FEB409F"/>
    <w:rsid w:val="401F4AC2"/>
    <w:rsid w:val="40361D15"/>
    <w:rsid w:val="4041034D"/>
    <w:rsid w:val="40414F3F"/>
    <w:rsid w:val="40456F00"/>
    <w:rsid w:val="40985685"/>
    <w:rsid w:val="41103C3B"/>
    <w:rsid w:val="4141261B"/>
    <w:rsid w:val="41600431"/>
    <w:rsid w:val="419C74B1"/>
    <w:rsid w:val="419F20C8"/>
    <w:rsid w:val="41D103D1"/>
    <w:rsid w:val="4202058A"/>
    <w:rsid w:val="420F3F6D"/>
    <w:rsid w:val="421F4DB2"/>
    <w:rsid w:val="422F59C2"/>
    <w:rsid w:val="42376048"/>
    <w:rsid w:val="423A38FD"/>
    <w:rsid w:val="423C2724"/>
    <w:rsid w:val="423E007E"/>
    <w:rsid w:val="42511E8E"/>
    <w:rsid w:val="427C23A2"/>
    <w:rsid w:val="42C5139F"/>
    <w:rsid w:val="42D50148"/>
    <w:rsid w:val="43033FDC"/>
    <w:rsid w:val="43062B1F"/>
    <w:rsid w:val="432348EE"/>
    <w:rsid w:val="4326172C"/>
    <w:rsid w:val="432B2B89"/>
    <w:rsid w:val="432C0EC1"/>
    <w:rsid w:val="4332664E"/>
    <w:rsid w:val="43661A0D"/>
    <w:rsid w:val="43816589"/>
    <w:rsid w:val="43A06C82"/>
    <w:rsid w:val="43A94E36"/>
    <w:rsid w:val="43B35F95"/>
    <w:rsid w:val="43D9356A"/>
    <w:rsid w:val="44036DB7"/>
    <w:rsid w:val="44283AC1"/>
    <w:rsid w:val="44336B23"/>
    <w:rsid w:val="445538EB"/>
    <w:rsid w:val="446A72EE"/>
    <w:rsid w:val="44950494"/>
    <w:rsid w:val="44B7644A"/>
    <w:rsid w:val="44D279CC"/>
    <w:rsid w:val="451A38BA"/>
    <w:rsid w:val="453F20BC"/>
    <w:rsid w:val="456B3D49"/>
    <w:rsid w:val="45737DA4"/>
    <w:rsid w:val="45950036"/>
    <w:rsid w:val="45B15221"/>
    <w:rsid w:val="45B624DD"/>
    <w:rsid w:val="45CA0015"/>
    <w:rsid w:val="45CF6F16"/>
    <w:rsid w:val="45FE41E2"/>
    <w:rsid w:val="46094FCA"/>
    <w:rsid w:val="46136706"/>
    <w:rsid w:val="464D55E6"/>
    <w:rsid w:val="465861FD"/>
    <w:rsid w:val="46676190"/>
    <w:rsid w:val="467C4AB1"/>
    <w:rsid w:val="468772B0"/>
    <w:rsid w:val="46911B59"/>
    <w:rsid w:val="46B1257F"/>
    <w:rsid w:val="47330D5C"/>
    <w:rsid w:val="47457D7D"/>
    <w:rsid w:val="474657FE"/>
    <w:rsid w:val="47AB78E9"/>
    <w:rsid w:val="47D536AA"/>
    <w:rsid w:val="47DB27DF"/>
    <w:rsid w:val="47E32FBE"/>
    <w:rsid w:val="47F14FBA"/>
    <w:rsid w:val="48113E7C"/>
    <w:rsid w:val="4819260E"/>
    <w:rsid w:val="489B5F0E"/>
    <w:rsid w:val="48DEA448"/>
    <w:rsid w:val="48F34D48"/>
    <w:rsid w:val="48F77743"/>
    <w:rsid w:val="490F4DEA"/>
    <w:rsid w:val="492F531F"/>
    <w:rsid w:val="493375A8"/>
    <w:rsid w:val="4936081E"/>
    <w:rsid w:val="496435E2"/>
    <w:rsid w:val="49B33379"/>
    <w:rsid w:val="49ED6B54"/>
    <w:rsid w:val="4A271F13"/>
    <w:rsid w:val="4A6766A0"/>
    <w:rsid w:val="4AD04414"/>
    <w:rsid w:val="4ADA1F63"/>
    <w:rsid w:val="4AEE4742"/>
    <w:rsid w:val="4AF436A1"/>
    <w:rsid w:val="4AFE61E1"/>
    <w:rsid w:val="4B3115EC"/>
    <w:rsid w:val="4B436A33"/>
    <w:rsid w:val="4B575D17"/>
    <w:rsid w:val="4B590D94"/>
    <w:rsid w:val="4B9A5369"/>
    <w:rsid w:val="4BA82332"/>
    <w:rsid w:val="4BB365CF"/>
    <w:rsid w:val="4BDF4A85"/>
    <w:rsid w:val="4BFA1FA3"/>
    <w:rsid w:val="4BFD552A"/>
    <w:rsid w:val="4C002D1E"/>
    <w:rsid w:val="4C082572"/>
    <w:rsid w:val="4C443EC1"/>
    <w:rsid w:val="4C89286A"/>
    <w:rsid w:val="4C956D80"/>
    <w:rsid w:val="4CB57181"/>
    <w:rsid w:val="4CC9196A"/>
    <w:rsid w:val="4CCC185F"/>
    <w:rsid w:val="4CE3746E"/>
    <w:rsid w:val="4D1A3F69"/>
    <w:rsid w:val="4D4A76DD"/>
    <w:rsid w:val="4D732CDE"/>
    <w:rsid w:val="4DCB0F30"/>
    <w:rsid w:val="4DD43320"/>
    <w:rsid w:val="4E203082"/>
    <w:rsid w:val="4E4C7385"/>
    <w:rsid w:val="4E4F14CB"/>
    <w:rsid w:val="4E5154A9"/>
    <w:rsid w:val="4E5214A5"/>
    <w:rsid w:val="4EA07D68"/>
    <w:rsid w:val="4EA819CC"/>
    <w:rsid w:val="4ED07800"/>
    <w:rsid w:val="4ED54C66"/>
    <w:rsid w:val="4EDD2850"/>
    <w:rsid w:val="4EDF107B"/>
    <w:rsid w:val="4EFB6A15"/>
    <w:rsid w:val="4F042D1F"/>
    <w:rsid w:val="4F0444B0"/>
    <w:rsid w:val="4F1A35E2"/>
    <w:rsid w:val="4F2D6487"/>
    <w:rsid w:val="4F3003B6"/>
    <w:rsid w:val="4F6463E1"/>
    <w:rsid w:val="4F662350"/>
    <w:rsid w:val="4F724BCA"/>
    <w:rsid w:val="4F7B2444"/>
    <w:rsid w:val="4F855D03"/>
    <w:rsid w:val="4F8D1AE5"/>
    <w:rsid w:val="4F9F3ABC"/>
    <w:rsid w:val="503A18AD"/>
    <w:rsid w:val="503C7A30"/>
    <w:rsid w:val="503F7833"/>
    <w:rsid w:val="50427288"/>
    <w:rsid w:val="504379C0"/>
    <w:rsid w:val="506643DA"/>
    <w:rsid w:val="50833C49"/>
    <w:rsid w:val="50BD4B06"/>
    <w:rsid w:val="50D137A7"/>
    <w:rsid w:val="50DF4CBB"/>
    <w:rsid w:val="50E43195"/>
    <w:rsid w:val="51167616"/>
    <w:rsid w:val="514D7E89"/>
    <w:rsid w:val="51520778"/>
    <w:rsid w:val="515612F6"/>
    <w:rsid w:val="5176047A"/>
    <w:rsid w:val="518A5153"/>
    <w:rsid w:val="51985452"/>
    <w:rsid w:val="5199796C"/>
    <w:rsid w:val="51A7533B"/>
    <w:rsid w:val="51B36318"/>
    <w:rsid w:val="51CA5F3D"/>
    <w:rsid w:val="51D242A6"/>
    <w:rsid w:val="51E348E9"/>
    <w:rsid w:val="52000615"/>
    <w:rsid w:val="521536EF"/>
    <w:rsid w:val="5217603C"/>
    <w:rsid w:val="5220662D"/>
    <w:rsid w:val="52424902"/>
    <w:rsid w:val="526563EA"/>
    <w:rsid w:val="52720133"/>
    <w:rsid w:val="52AD7835"/>
    <w:rsid w:val="52BD204D"/>
    <w:rsid w:val="52F60A01"/>
    <w:rsid w:val="530F07D3"/>
    <w:rsid w:val="53343461"/>
    <w:rsid w:val="53574132"/>
    <w:rsid w:val="53780C68"/>
    <w:rsid w:val="538650BA"/>
    <w:rsid w:val="53B94568"/>
    <w:rsid w:val="543B0397"/>
    <w:rsid w:val="54502569"/>
    <w:rsid w:val="545B6737"/>
    <w:rsid w:val="54604C7D"/>
    <w:rsid w:val="548F1F48"/>
    <w:rsid w:val="54B13782"/>
    <w:rsid w:val="54C67EA4"/>
    <w:rsid w:val="54D75BC0"/>
    <w:rsid w:val="54DC4246"/>
    <w:rsid w:val="54F22F39"/>
    <w:rsid w:val="550C1AC2"/>
    <w:rsid w:val="550F4912"/>
    <w:rsid w:val="55115E79"/>
    <w:rsid w:val="55214895"/>
    <w:rsid w:val="552F3D56"/>
    <w:rsid w:val="553F0A67"/>
    <w:rsid w:val="55846FDD"/>
    <w:rsid w:val="55933D75"/>
    <w:rsid w:val="5597277B"/>
    <w:rsid w:val="55975C18"/>
    <w:rsid w:val="55BE5A7D"/>
    <w:rsid w:val="55D709E2"/>
    <w:rsid w:val="55E96A1C"/>
    <w:rsid w:val="561E3959"/>
    <w:rsid w:val="562B51ED"/>
    <w:rsid w:val="56443B98"/>
    <w:rsid w:val="564F2E6A"/>
    <w:rsid w:val="56530930"/>
    <w:rsid w:val="56865ED0"/>
    <w:rsid w:val="56AC6A40"/>
    <w:rsid w:val="56B95D55"/>
    <w:rsid w:val="56C43C09"/>
    <w:rsid w:val="56DB4F33"/>
    <w:rsid w:val="57377B2B"/>
    <w:rsid w:val="574472CC"/>
    <w:rsid w:val="57892BAB"/>
    <w:rsid w:val="578E252E"/>
    <w:rsid w:val="578F28B6"/>
    <w:rsid w:val="579E1ACB"/>
    <w:rsid w:val="57A04D4E"/>
    <w:rsid w:val="57B56AB6"/>
    <w:rsid w:val="57C71EE5"/>
    <w:rsid w:val="57DB07AC"/>
    <w:rsid w:val="57DC4BB3"/>
    <w:rsid w:val="57F4510A"/>
    <w:rsid w:val="57FFEC3F"/>
    <w:rsid w:val="580567CC"/>
    <w:rsid w:val="584E1E05"/>
    <w:rsid w:val="5852253F"/>
    <w:rsid w:val="5892543E"/>
    <w:rsid w:val="58A0329A"/>
    <w:rsid w:val="58AA6505"/>
    <w:rsid w:val="58C219AE"/>
    <w:rsid w:val="59075409"/>
    <w:rsid w:val="59490CE4"/>
    <w:rsid w:val="59826569"/>
    <w:rsid w:val="598F1C47"/>
    <w:rsid w:val="59A30C9C"/>
    <w:rsid w:val="59BB1861"/>
    <w:rsid w:val="59BE5DFE"/>
    <w:rsid w:val="59CA5162"/>
    <w:rsid w:val="59D61317"/>
    <w:rsid w:val="59E42D8A"/>
    <w:rsid w:val="5A041094"/>
    <w:rsid w:val="5A1035F7"/>
    <w:rsid w:val="5A1817F0"/>
    <w:rsid w:val="5A440825"/>
    <w:rsid w:val="5A536124"/>
    <w:rsid w:val="5A975C1F"/>
    <w:rsid w:val="5AB55661"/>
    <w:rsid w:val="5AC551DD"/>
    <w:rsid w:val="5ACB3F81"/>
    <w:rsid w:val="5AD75815"/>
    <w:rsid w:val="5AF20017"/>
    <w:rsid w:val="5AF660CA"/>
    <w:rsid w:val="5B081706"/>
    <w:rsid w:val="5B1F3A0B"/>
    <w:rsid w:val="5B26757A"/>
    <w:rsid w:val="5B592071"/>
    <w:rsid w:val="5B7D50AA"/>
    <w:rsid w:val="5B927CEC"/>
    <w:rsid w:val="5B9F0CB4"/>
    <w:rsid w:val="5BAE3877"/>
    <w:rsid w:val="5BB03272"/>
    <w:rsid w:val="5BB57175"/>
    <w:rsid w:val="5BED6131"/>
    <w:rsid w:val="5C2D3BC9"/>
    <w:rsid w:val="5C3353F5"/>
    <w:rsid w:val="5C4A749D"/>
    <w:rsid w:val="5C522E80"/>
    <w:rsid w:val="5C5C0E94"/>
    <w:rsid w:val="5C6A3CA3"/>
    <w:rsid w:val="5C7557DB"/>
    <w:rsid w:val="5C871489"/>
    <w:rsid w:val="5C9E5181"/>
    <w:rsid w:val="5CB5062A"/>
    <w:rsid w:val="5CC47E84"/>
    <w:rsid w:val="5CD37BDA"/>
    <w:rsid w:val="5CE110EE"/>
    <w:rsid w:val="5D1D6D54"/>
    <w:rsid w:val="5D401DC7"/>
    <w:rsid w:val="5D4E1962"/>
    <w:rsid w:val="5D5F382C"/>
    <w:rsid w:val="5D7B70EE"/>
    <w:rsid w:val="5D887D08"/>
    <w:rsid w:val="5DAB3581"/>
    <w:rsid w:val="5DC756D8"/>
    <w:rsid w:val="5DD76183"/>
    <w:rsid w:val="5DEB4E23"/>
    <w:rsid w:val="5DF55733"/>
    <w:rsid w:val="5E142E2F"/>
    <w:rsid w:val="5E1860EF"/>
    <w:rsid w:val="5E437B09"/>
    <w:rsid w:val="5E4F3C33"/>
    <w:rsid w:val="5E5622D4"/>
    <w:rsid w:val="5E567D56"/>
    <w:rsid w:val="5E766130"/>
    <w:rsid w:val="5E8B6A61"/>
    <w:rsid w:val="5E97556E"/>
    <w:rsid w:val="5EA22A3A"/>
    <w:rsid w:val="5EA31546"/>
    <w:rsid w:val="5EA558D6"/>
    <w:rsid w:val="5EAA25F6"/>
    <w:rsid w:val="5ECF75EF"/>
    <w:rsid w:val="5EE11B69"/>
    <w:rsid w:val="5F1E74DC"/>
    <w:rsid w:val="5F225ABD"/>
    <w:rsid w:val="5F297DD9"/>
    <w:rsid w:val="5F2ED3F3"/>
    <w:rsid w:val="5F394036"/>
    <w:rsid w:val="5F4366D9"/>
    <w:rsid w:val="5F88164A"/>
    <w:rsid w:val="5F985BCB"/>
    <w:rsid w:val="5F9A7BFD"/>
    <w:rsid w:val="5FC24A29"/>
    <w:rsid w:val="5FC87DF3"/>
    <w:rsid w:val="5FE9AF6C"/>
    <w:rsid w:val="5FF40A51"/>
    <w:rsid w:val="5FFA3783"/>
    <w:rsid w:val="60193851"/>
    <w:rsid w:val="6034272C"/>
    <w:rsid w:val="604F208F"/>
    <w:rsid w:val="60546516"/>
    <w:rsid w:val="60831C82"/>
    <w:rsid w:val="60B23FEB"/>
    <w:rsid w:val="60C51A2C"/>
    <w:rsid w:val="60C54361"/>
    <w:rsid w:val="60DB54F6"/>
    <w:rsid w:val="60E33FBD"/>
    <w:rsid w:val="610B3AC7"/>
    <w:rsid w:val="610F24CD"/>
    <w:rsid w:val="613A550F"/>
    <w:rsid w:val="614A35AB"/>
    <w:rsid w:val="61655970"/>
    <w:rsid w:val="6185302D"/>
    <w:rsid w:val="619170CA"/>
    <w:rsid w:val="61920AE7"/>
    <w:rsid w:val="61B707B0"/>
    <w:rsid w:val="61C1490F"/>
    <w:rsid w:val="61F12AC0"/>
    <w:rsid w:val="61F918F2"/>
    <w:rsid w:val="61FB637A"/>
    <w:rsid w:val="621F230A"/>
    <w:rsid w:val="62443A91"/>
    <w:rsid w:val="6264757B"/>
    <w:rsid w:val="626D6336"/>
    <w:rsid w:val="62872FB3"/>
    <w:rsid w:val="62894681"/>
    <w:rsid w:val="628E03BF"/>
    <w:rsid w:val="629118D9"/>
    <w:rsid w:val="62976109"/>
    <w:rsid w:val="62A062D8"/>
    <w:rsid w:val="62BF72EF"/>
    <w:rsid w:val="62C04412"/>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E1404C"/>
    <w:rsid w:val="640E5F43"/>
    <w:rsid w:val="64114886"/>
    <w:rsid w:val="6425175A"/>
    <w:rsid w:val="643F3A1C"/>
    <w:rsid w:val="645A498D"/>
    <w:rsid w:val="64DB128D"/>
    <w:rsid w:val="64DF440C"/>
    <w:rsid w:val="64F743B2"/>
    <w:rsid w:val="64FD0438"/>
    <w:rsid w:val="650A51C4"/>
    <w:rsid w:val="650F375F"/>
    <w:rsid w:val="65711BEF"/>
    <w:rsid w:val="657D69BB"/>
    <w:rsid w:val="6586009D"/>
    <w:rsid w:val="658A1B2B"/>
    <w:rsid w:val="65982F48"/>
    <w:rsid w:val="65B03B33"/>
    <w:rsid w:val="65B112DA"/>
    <w:rsid w:val="65B86A3A"/>
    <w:rsid w:val="65D07218"/>
    <w:rsid w:val="65DE652D"/>
    <w:rsid w:val="65E96660"/>
    <w:rsid w:val="66052E26"/>
    <w:rsid w:val="66075173"/>
    <w:rsid w:val="66127C81"/>
    <w:rsid w:val="666E039B"/>
    <w:rsid w:val="667444A2"/>
    <w:rsid w:val="6678621E"/>
    <w:rsid w:val="668D2E4E"/>
    <w:rsid w:val="66B2560C"/>
    <w:rsid w:val="6700318D"/>
    <w:rsid w:val="672F0FFE"/>
    <w:rsid w:val="67387A63"/>
    <w:rsid w:val="67450D13"/>
    <w:rsid w:val="676E7347"/>
    <w:rsid w:val="677D162D"/>
    <w:rsid w:val="679035A9"/>
    <w:rsid w:val="67A52708"/>
    <w:rsid w:val="67BB8C86"/>
    <w:rsid w:val="67CB5A7A"/>
    <w:rsid w:val="67D356E3"/>
    <w:rsid w:val="67DF67EA"/>
    <w:rsid w:val="67FB834A"/>
    <w:rsid w:val="680B10C1"/>
    <w:rsid w:val="6839418E"/>
    <w:rsid w:val="68395D68"/>
    <w:rsid w:val="683A14A4"/>
    <w:rsid w:val="683B3E0E"/>
    <w:rsid w:val="68734277"/>
    <w:rsid w:val="687377EB"/>
    <w:rsid w:val="68DB5F16"/>
    <w:rsid w:val="68DE6E9B"/>
    <w:rsid w:val="68DE74FF"/>
    <w:rsid w:val="68E47AEB"/>
    <w:rsid w:val="69075AE0"/>
    <w:rsid w:val="691B6CFF"/>
    <w:rsid w:val="6944683F"/>
    <w:rsid w:val="696073DC"/>
    <w:rsid w:val="69703C38"/>
    <w:rsid w:val="69AA2CBF"/>
    <w:rsid w:val="69E412DB"/>
    <w:rsid w:val="69EA26B3"/>
    <w:rsid w:val="69EC5ECF"/>
    <w:rsid w:val="69FE4D74"/>
    <w:rsid w:val="6A100511"/>
    <w:rsid w:val="6A3F0560"/>
    <w:rsid w:val="6A5012FB"/>
    <w:rsid w:val="6A563204"/>
    <w:rsid w:val="6A5F52CE"/>
    <w:rsid w:val="6A601595"/>
    <w:rsid w:val="6A7C1DBF"/>
    <w:rsid w:val="6A8A23D9"/>
    <w:rsid w:val="6A9154B8"/>
    <w:rsid w:val="6A973C6D"/>
    <w:rsid w:val="6AA70E28"/>
    <w:rsid w:val="6AC65D4A"/>
    <w:rsid w:val="6ACF2F02"/>
    <w:rsid w:val="6ACF3DC7"/>
    <w:rsid w:val="6B07721F"/>
    <w:rsid w:val="6B090729"/>
    <w:rsid w:val="6B1135A2"/>
    <w:rsid w:val="6B1970E0"/>
    <w:rsid w:val="6B1F2E6B"/>
    <w:rsid w:val="6B642A5C"/>
    <w:rsid w:val="6B7314EF"/>
    <w:rsid w:val="6B981292"/>
    <w:rsid w:val="6BCF0EB7"/>
    <w:rsid w:val="6BD3311E"/>
    <w:rsid w:val="6BF74B9B"/>
    <w:rsid w:val="6BF948CC"/>
    <w:rsid w:val="6C0E4753"/>
    <w:rsid w:val="6C336F12"/>
    <w:rsid w:val="6C4E4664"/>
    <w:rsid w:val="6C742060"/>
    <w:rsid w:val="6C9854C4"/>
    <w:rsid w:val="6D0F7B79"/>
    <w:rsid w:val="6D473557"/>
    <w:rsid w:val="6D5939A1"/>
    <w:rsid w:val="6D7D01AD"/>
    <w:rsid w:val="6DA74875"/>
    <w:rsid w:val="6DA7FE57"/>
    <w:rsid w:val="6DCC37B0"/>
    <w:rsid w:val="6DEB1508"/>
    <w:rsid w:val="6DFD23DD"/>
    <w:rsid w:val="6E031A87"/>
    <w:rsid w:val="6E8E69EC"/>
    <w:rsid w:val="6E9204FF"/>
    <w:rsid w:val="6EA533C0"/>
    <w:rsid w:val="6EBB30B8"/>
    <w:rsid w:val="6ED01461"/>
    <w:rsid w:val="6EFE27FA"/>
    <w:rsid w:val="6EFF141F"/>
    <w:rsid w:val="6F062D8F"/>
    <w:rsid w:val="6F5A1CBD"/>
    <w:rsid w:val="6F82285A"/>
    <w:rsid w:val="6F9A0528"/>
    <w:rsid w:val="6FB412A9"/>
    <w:rsid w:val="6FD46C64"/>
    <w:rsid w:val="6FDC6A13"/>
    <w:rsid w:val="6FE7F6C2"/>
    <w:rsid w:val="6FF005A6"/>
    <w:rsid w:val="6FFF7BD4"/>
    <w:rsid w:val="70032F3F"/>
    <w:rsid w:val="701139EA"/>
    <w:rsid w:val="7014565A"/>
    <w:rsid w:val="701D527E"/>
    <w:rsid w:val="701F0023"/>
    <w:rsid w:val="706A1AFA"/>
    <w:rsid w:val="70AE175A"/>
    <w:rsid w:val="70EA7982"/>
    <w:rsid w:val="712325AD"/>
    <w:rsid w:val="712747F9"/>
    <w:rsid w:val="713F71FD"/>
    <w:rsid w:val="719F7978"/>
    <w:rsid w:val="71B460C4"/>
    <w:rsid w:val="71C02E87"/>
    <w:rsid w:val="71CB1AC1"/>
    <w:rsid w:val="71CE1C96"/>
    <w:rsid w:val="71D15BC9"/>
    <w:rsid w:val="723F5FBE"/>
    <w:rsid w:val="723F61FD"/>
    <w:rsid w:val="72AA58AC"/>
    <w:rsid w:val="72D30C6F"/>
    <w:rsid w:val="72DB0178"/>
    <w:rsid w:val="72E33215"/>
    <w:rsid w:val="72FC1311"/>
    <w:rsid w:val="730936C7"/>
    <w:rsid w:val="733B7D94"/>
    <w:rsid w:val="733E1C31"/>
    <w:rsid w:val="734139BA"/>
    <w:rsid w:val="734F6817"/>
    <w:rsid w:val="735F1ED8"/>
    <w:rsid w:val="736305DA"/>
    <w:rsid w:val="73A43546"/>
    <w:rsid w:val="73C550FF"/>
    <w:rsid w:val="73C6476D"/>
    <w:rsid w:val="73D67598"/>
    <w:rsid w:val="73FF4E14"/>
    <w:rsid w:val="740238DF"/>
    <w:rsid w:val="74210D9D"/>
    <w:rsid w:val="74556698"/>
    <w:rsid w:val="746639C2"/>
    <w:rsid w:val="747043F8"/>
    <w:rsid w:val="747245BE"/>
    <w:rsid w:val="748D2B08"/>
    <w:rsid w:val="749679D6"/>
    <w:rsid w:val="74BF3F35"/>
    <w:rsid w:val="74D6713B"/>
    <w:rsid w:val="74D710CB"/>
    <w:rsid w:val="74D90B6F"/>
    <w:rsid w:val="74FA3E77"/>
    <w:rsid w:val="74FE7B26"/>
    <w:rsid w:val="75091F13"/>
    <w:rsid w:val="755F4EA1"/>
    <w:rsid w:val="758C6C69"/>
    <w:rsid w:val="759913C5"/>
    <w:rsid w:val="75C779C2"/>
    <w:rsid w:val="76082415"/>
    <w:rsid w:val="76147043"/>
    <w:rsid w:val="76231A17"/>
    <w:rsid w:val="7629236B"/>
    <w:rsid w:val="763151F9"/>
    <w:rsid w:val="76377102"/>
    <w:rsid w:val="766C1A08"/>
    <w:rsid w:val="76781F92"/>
    <w:rsid w:val="76787B6C"/>
    <w:rsid w:val="768E1D0F"/>
    <w:rsid w:val="76920347"/>
    <w:rsid w:val="769D5E6C"/>
    <w:rsid w:val="76C8536C"/>
    <w:rsid w:val="76DC6F10"/>
    <w:rsid w:val="76E45DA2"/>
    <w:rsid w:val="76FB7612"/>
    <w:rsid w:val="77162925"/>
    <w:rsid w:val="77185723"/>
    <w:rsid w:val="771B144D"/>
    <w:rsid w:val="77636498"/>
    <w:rsid w:val="7770799C"/>
    <w:rsid w:val="77935D3A"/>
    <w:rsid w:val="77BF1422"/>
    <w:rsid w:val="77E55B44"/>
    <w:rsid w:val="77F31337"/>
    <w:rsid w:val="77F7488E"/>
    <w:rsid w:val="78083482"/>
    <w:rsid w:val="78351146"/>
    <w:rsid w:val="783A1420"/>
    <w:rsid w:val="785522DA"/>
    <w:rsid w:val="785D3384"/>
    <w:rsid w:val="786077DF"/>
    <w:rsid w:val="786B381F"/>
    <w:rsid w:val="787077E2"/>
    <w:rsid w:val="787B7F3E"/>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0F1874"/>
    <w:rsid w:val="7B31417A"/>
    <w:rsid w:val="7B3F069E"/>
    <w:rsid w:val="7B77F085"/>
    <w:rsid w:val="7B955AA9"/>
    <w:rsid w:val="7B9C495B"/>
    <w:rsid w:val="7BA577E9"/>
    <w:rsid w:val="7BC61286"/>
    <w:rsid w:val="7BC920E7"/>
    <w:rsid w:val="7BCE3B4D"/>
    <w:rsid w:val="7BDAA757"/>
    <w:rsid w:val="7BDFC293"/>
    <w:rsid w:val="7BE63AD5"/>
    <w:rsid w:val="7BED516B"/>
    <w:rsid w:val="7BF831EC"/>
    <w:rsid w:val="7C0C2906"/>
    <w:rsid w:val="7C136915"/>
    <w:rsid w:val="7C19323C"/>
    <w:rsid w:val="7C220EDD"/>
    <w:rsid w:val="7C370855"/>
    <w:rsid w:val="7C572033"/>
    <w:rsid w:val="7C5B6663"/>
    <w:rsid w:val="7C61599E"/>
    <w:rsid w:val="7C7B135B"/>
    <w:rsid w:val="7CAA7D52"/>
    <w:rsid w:val="7CCF13B7"/>
    <w:rsid w:val="7CDC0104"/>
    <w:rsid w:val="7CDF44A7"/>
    <w:rsid w:val="7CE64887"/>
    <w:rsid w:val="7CE9502F"/>
    <w:rsid w:val="7CEC3BB1"/>
    <w:rsid w:val="7CFB6DD6"/>
    <w:rsid w:val="7CFF7169"/>
    <w:rsid w:val="7D173281"/>
    <w:rsid w:val="7D185D04"/>
    <w:rsid w:val="7D1A1D19"/>
    <w:rsid w:val="7D1D080D"/>
    <w:rsid w:val="7D20704E"/>
    <w:rsid w:val="7D3C5655"/>
    <w:rsid w:val="7D40500C"/>
    <w:rsid w:val="7D4B3316"/>
    <w:rsid w:val="7D8F6E57"/>
    <w:rsid w:val="7DB83970"/>
    <w:rsid w:val="7DBA0F25"/>
    <w:rsid w:val="7DBD30ED"/>
    <w:rsid w:val="7DC06BDF"/>
    <w:rsid w:val="7DD96A0D"/>
    <w:rsid w:val="7DDF1692"/>
    <w:rsid w:val="7DFF351B"/>
    <w:rsid w:val="7E175980"/>
    <w:rsid w:val="7E3322A7"/>
    <w:rsid w:val="7E346B9D"/>
    <w:rsid w:val="7E566D52"/>
    <w:rsid w:val="7E5D0F7F"/>
    <w:rsid w:val="7E734104"/>
    <w:rsid w:val="7E743354"/>
    <w:rsid w:val="7EC65EC0"/>
    <w:rsid w:val="7EC85D8C"/>
    <w:rsid w:val="7EE161C5"/>
    <w:rsid w:val="7F127358"/>
    <w:rsid w:val="7F18136C"/>
    <w:rsid w:val="7F650DC4"/>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numPr>
        <w:ilvl w:val="2"/>
      </w:numPr>
      <w:spacing w:before="120"/>
      <w:outlineLvl w:val="2"/>
    </w:pPr>
    <w:rPr>
      <w:i w:val="0"/>
      <w:iCs w:val="0"/>
      <w:sz w:val="26"/>
      <w:szCs w:val="26"/>
    </w:rPr>
  </w:style>
  <w:style w:type="paragraph" w:styleId="5">
    <w:name w:val="heading 4"/>
    <w:basedOn w:val="4"/>
    <w:next w:val="1"/>
    <w:link w:val="63"/>
    <w:qFormat/>
    <w:uiPriority w:val="99"/>
    <w:pPr>
      <w:numPr>
        <w:ilvl w:val="3"/>
      </w:numPr>
      <w:outlineLvl w:val="3"/>
    </w:pPr>
    <w:rPr>
      <w:rFonts w:ascii="Calibri" w:hAnsi="Calibri"/>
      <w:sz w:val="28"/>
      <w:szCs w:val="28"/>
    </w:rPr>
  </w:style>
  <w:style w:type="paragraph" w:styleId="6">
    <w:name w:val="heading 5"/>
    <w:basedOn w:val="5"/>
    <w:next w:val="1"/>
    <w:link w:val="64"/>
    <w:qFormat/>
    <w:uiPriority w:val="99"/>
    <w:pPr>
      <w:numPr>
        <w:ilvl w:val="4"/>
      </w:numPr>
      <w:outlineLvl w:val="4"/>
    </w:pPr>
    <w:rPr>
      <w:i/>
      <w:iCs/>
      <w:sz w:val="26"/>
      <w:szCs w:val="26"/>
    </w:rPr>
  </w:style>
  <w:style w:type="paragraph" w:styleId="7">
    <w:name w:val="heading 6"/>
    <w:basedOn w:val="8"/>
    <w:next w:val="1"/>
    <w:link w:val="65"/>
    <w:qFormat/>
    <w:uiPriority w:val="99"/>
    <w:pPr>
      <w:numPr>
        <w:ilvl w:val="5"/>
      </w:numPr>
      <w:outlineLvl w:val="5"/>
    </w:pPr>
    <w:rPr>
      <w:i w:val="0"/>
      <w:iCs w:val="0"/>
      <w:szCs w:val="20"/>
    </w:rPr>
  </w:style>
  <w:style w:type="paragraph" w:styleId="9">
    <w:name w:val="heading 7"/>
    <w:basedOn w:val="8"/>
    <w:next w:val="1"/>
    <w:link w:val="66"/>
    <w:qFormat/>
    <w:uiPriority w:val="99"/>
    <w:pPr>
      <w:numPr>
        <w:ilvl w:val="6"/>
      </w:numPr>
      <w:outlineLvl w:val="6"/>
    </w:pPr>
    <w:rPr>
      <w:b w:val="0"/>
      <w:bCs w:val="0"/>
      <w:i w:val="0"/>
      <w:iCs w:val="0"/>
      <w:sz w:val="24"/>
      <w:szCs w:val="24"/>
    </w:rPr>
  </w:style>
  <w:style w:type="paragraph" w:styleId="10">
    <w:name w:val="heading 8"/>
    <w:basedOn w:val="2"/>
    <w:next w:val="1"/>
    <w:link w:val="67"/>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8"/>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unhideWhenUsed/>
    <w:qFormat/>
    <w:locked/>
    <w:uiPriority w:val="0"/>
    <w:rPr>
      <w:color w:val="0000FF"/>
      <w:u w:val="single"/>
    </w:rPr>
  </w:style>
  <w:style w:type="character" w:styleId="58">
    <w:name w:val="annotation reference"/>
    <w:qFormat/>
    <w:uiPriority w:val="0"/>
    <w:rPr>
      <w:rFonts w:cs="Times New Roman"/>
      <w:sz w:val="16"/>
      <w:szCs w:val="16"/>
    </w:rPr>
  </w:style>
  <w:style w:type="character" w:styleId="59">
    <w:name w:val="footnote reference"/>
    <w:qFormat/>
    <w:uiPriority w:val="0"/>
    <w:rPr>
      <w:rFonts w:cs="Times New Roman"/>
      <w:b/>
      <w:position w:val="6"/>
      <w:sz w:val="16"/>
    </w:rPr>
  </w:style>
  <w:style w:type="character" w:customStyle="1" w:styleId="60">
    <w:name w:val="标题 1 字符"/>
    <w:link w:val="2"/>
    <w:qFormat/>
    <w:locked/>
    <w:uiPriority w:val="99"/>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qFormat/>
    <w:locked/>
    <w:uiPriority w:val="0"/>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apple-converted-space"/>
    <w:basedOn w:val="53"/>
    <w:qFormat/>
    <w:uiPriority w:val="0"/>
  </w:style>
  <w:style w:type="character" w:customStyle="1" w:styleId="161">
    <w:name w:val="fontstyle21"/>
    <w:basedOn w:val="53"/>
    <w:qFormat/>
    <w:uiPriority w:val="0"/>
    <w:rPr>
      <w:rFonts w:hint="default" w:ascii="Times-Italic" w:hAnsi="Times-Italic"/>
      <w:i/>
      <w:iCs/>
      <w:color w:val="000000"/>
      <w:sz w:val="20"/>
      <w:szCs w:val="20"/>
    </w:rPr>
  </w:style>
  <w:style w:type="paragraph" w:customStyle="1" w:styleId="162">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table" w:customStyle="1" w:styleId="164">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5">
    <w:name w:val="未处理的提及1"/>
    <w:basedOn w:val="53"/>
    <w:semiHidden/>
    <w:unhideWhenUsed/>
    <w:qFormat/>
    <w:uiPriority w:val="99"/>
    <w:rPr>
      <w:color w:val="605E5C"/>
      <w:shd w:val="clear" w:color="auto" w:fill="E1DFDD"/>
    </w:rPr>
  </w:style>
  <w:style w:type="character" w:styleId="166">
    <w:name w:val="Placeholder Text"/>
    <w:basedOn w:val="53"/>
    <w:semiHidden/>
    <w:qFormat/>
    <w:uiPriority w:val="99"/>
    <w:rPr>
      <w:color w:val="666666"/>
    </w:rPr>
  </w:style>
  <w:style w:type="character" w:customStyle="1" w:styleId="167">
    <w:name w:val="TAL Char"/>
    <w:qFormat/>
    <w:locked/>
    <w:uiPriority w:val="0"/>
    <w:rPr>
      <w:rFonts w:ascii="Arial" w:hAnsi="Arial"/>
      <w:sz w:val="18"/>
      <w:lang w:eastAsia="en-US"/>
    </w:rPr>
  </w:style>
  <w:style w:type="paragraph" w:customStyle="1" w:styleId="168">
    <w:name w:val="Table_text"/>
    <w:basedOn w:val="1"/>
    <w:link w:val="173"/>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9">
    <w:name w:val="Table_head"/>
    <w:basedOn w:val="1"/>
    <w:link w:val="17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70">
    <w:name w:val="Table_No"/>
    <w:basedOn w:val="1"/>
    <w:next w:val="1"/>
    <w:link w:val="17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1">
    <w:name w:val="Table_No Char"/>
    <w:basedOn w:val="53"/>
    <w:link w:val="170"/>
    <w:qFormat/>
    <w:locked/>
    <w:uiPriority w:val="0"/>
    <w:rPr>
      <w:rFonts w:eastAsia="Times New Roman"/>
      <w:caps/>
      <w:lang w:val="en-GB" w:eastAsia="en-US"/>
    </w:rPr>
  </w:style>
  <w:style w:type="character" w:customStyle="1" w:styleId="172">
    <w:name w:val="Table_head Char"/>
    <w:basedOn w:val="53"/>
    <w:link w:val="169"/>
    <w:qFormat/>
    <w:locked/>
    <w:uiPriority w:val="0"/>
    <w:rPr>
      <w:rFonts w:ascii="Times New Roman Bold" w:hAnsi="Times New Roman Bold" w:eastAsia="Times New Roman" w:cs="Times New Roman Bold"/>
      <w:b/>
      <w:lang w:val="en-GB" w:eastAsia="en-US"/>
    </w:rPr>
  </w:style>
  <w:style w:type="character" w:customStyle="1" w:styleId="173">
    <w:name w:val="Table_text Char"/>
    <w:basedOn w:val="53"/>
    <w:link w:val="168"/>
    <w:qFormat/>
    <w:locked/>
    <w:uiPriority w:val="0"/>
    <w:rPr>
      <w:rFonts w:eastAsia="Times New Roman"/>
      <w:lang w:val="en-GB" w:eastAsia="en-US"/>
    </w:rPr>
  </w:style>
  <w:style w:type="paragraph" w:customStyle="1" w:styleId="174">
    <w:name w:val="列出段落1"/>
    <w:basedOn w:val="1"/>
    <w:link w:val="175"/>
    <w:qFormat/>
    <w:uiPriority w:val="0"/>
    <w:pPr>
      <w:spacing w:after="0"/>
      <w:ind w:left="840" w:leftChars="400" w:hanging="1440"/>
    </w:pPr>
    <w:rPr>
      <w:rFonts w:ascii="Times" w:hAnsi="Times" w:eastAsia="Batang"/>
      <w:szCs w:val="24"/>
      <w:lang w:val="en-US" w:eastAsia="zh-CN"/>
    </w:rPr>
  </w:style>
  <w:style w:type="character" w:customStyle="1" w:styleId="175">
    <w:name w:val="列出段落 字符2"/>
    <w:basedOn w:val="53"/>
    <w:link w:val="174"/>
    <w:qFormat/>
    <w:uiPriority w:val="0"/>
    <w:rPr>
      <w:rFonts w:hint="default" w:ascii="Times" w:hAnsi="Times" w:eastAsia="Batang" w:cs="Times New Roman"/>
      <w:szCs w:val="24"/>
      <w:lang w:val="en-US"/>
    </w:rPr>
  </w:style>
  <w:style w:type="table" w:customStyle="1" w:styleId="176">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7">
    <w:name w:val="修订3"/>
    <w:hidden/>
    <w:unhideWhenUsed/>
    <w:qFormat/>
    <w:uiPriority w:val="99"/>
    <w:rPr>
      <w:rFonts w:ascii="Times New Roman" w:hAnsi="Times New Roman" w:eastAsia="宋体" w:cs="Times New Roman"/>
      <w:lang w:val="en-GB" w:eastAsia="ja-JP" w:bidi="ar-SA"/>
    </w:rPr>
  </w:style>
  <w:style w:type="paragraph" w:customStyle="1" w:styleId="178">
    <w:name w:val="Revision1"/>
    <w:hidden/>
    <w:unhideWhenUsed/>
    <w:qFormat/>
    <w:uiPriority w:val="99"/>
    <w:rPr>
      <w:rFonts w:ascii="Times New Roman" w:hAnsi="Times New Roman" w:eastAsia="宋体" w:cs="Times New Roman"/>
      <w:lang w:val="en-GB" w:eastAsia="ja-JP" w:bidi="ar-SA"/>
    </w:rPr>
  </w:style>
  <w:style w:type="paragraph" w:customStyle="1" w:styleId="179">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2911</Words>
  <Characters>18298</Characters>
  <Lines>107</Lines>
  <Paragraphs>30</Paragraphs>
  <TotalTime>39</TotalTime>
  <ScaleCrop>false</ScaleCrop>
  <LinksUpToDate>false</LinksUpToDate>
  <CharactersWithSpaces>21185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2025-09-03T11:34:00Z</dcterms:created>
  <dc:creator>CMCC</dc:creator>
  <cp:lastModifiedBy>MengyingSun</cp:lastModifiedBy>
  <cp:lastPrinted>2013-04-04T10:18:00Z</cp:lastPrinted>
  <dcterms:modified xsi:type="dcterms:W3CDTF">2025-09-08T08:09:50Z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2052-12.1.0.22529</vt:lpwstr>
  </property>
  <property fmtid="{D5CDD505-2E9C-101B-9397-08002B2CF9AE}" pid="4" name="ICV">
    <vt:lpwstr>CB688DC9E7A94E739A2EC89DBCCD21CD_13</vt:lpwstr>
  </property>
  <property fmtid="{D5CDD505-2E9C-101B-9397-08002B2CF9AE}" pid="5" name="KSOTemplateDocerSaveRecord">
    <vt:lpwstr>eyJoZGlkIjoiY2ZhMTZjNTczNDM3ZmY0YWU1YzUyMGM2NTNiNTBiYjciLCJ1c2VySWQiOiIzMTk2MDk1NzQifQ==</vt:lpwstr>
  </property>
</Properties>
</file>